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Style w:val="17"/>
          <w:rFonts w:ascii="华文新魏" w:eastAsia="华文新魏"/>
          <w:b/>
          <w:sz w:val="96"/>
          <w:szCs w:val="96"/>
        </w:rPr>
      </w:pPr>
    </w:p>
    <w:p>
      <w:pPr>
        <w:jc w:val="center"/>
        <w:rPr>
          <w:rStyle w:val="17"/>
          <w:rFonts w:ascii="华文新魏" w:eastAsia="华文新魏"/>
          <w:b/>
          <w:sz w:val="96"/>
          <w:szCs w:val="96"/>
        </w:rPr>
      </w:pPr>
      <w:r>
        <w:rPr>
          <w:rStyle w:val="17"/>
          <w:rFonts w:ascii="华文新魏" w:eastAsia="华文新魏"/>
          <w:b/>
          <w:sz w:val="96"/>
          <w:szCs w:val="96"/>
        </w:rPr>
        <w:t>南通市</w:t>
      </w:r>
      <w:r>
        <w:rPr>
          <w:rStyle w:val="17"/>
          <w:rFonts w:hint="eastAsia" w:ascii="华文新魏" w:eastAsia="华文新魏"/>
          <w:b/>
          <w:sz w:val="96"/>
          <w:szCs w:val="96"/>
          <w:lang w:val="en-US" w:eastAsia="zh-CN"/>
        </w:rPr>
        <w:t>海</w:t>
      </w:r>
      <w:r>
        <w:rPr>
          <w:rStyle w:val="17"/>
          <w:rFonts w:ascii="华文新魏" w:eastAsia="华文新魏"/>
          <w:b/>
          <w:sz w:val="96"/>
          <w:szCs w:val="96"/>
        </w:rPr>
        <w:t>门区人民检察院采购询价文件</w:t>
      </w:r>
    </w:p>
    <w:p>
      <w:pPr>
        <w:spacing w:line="360" w:lineRule="exact"/>
        <w:jc w:val="center"/>
        <w:rPr>
          <w:rStyle w:val="17"/>
          <w:rFonts w:ascii="宋体" w:hAnsi="宋体"/>
          <w:b/>
          <w:sz w:val="30"/>
        </w:rPr>
      </w:pPr>
    </w:p>
    <w:p>
      <w:pPr>
        <w:spacing w:line="360" w:lineRule="exact"/>
        <w:jc w:val="both"/>
        <w:rPr>
          <w:rStyle w:val="17"/>
          <w:rFonts w:ascii="宋体" w:hAnsi="宋体"/>
          <w:b/>
          <w:sz w:val="30"/>
        </w:rPr>
      </w:pPr>
    </w:p>
    <w:p>
      <w:pPr>
        <w:spacing w:line="360" w:lineRule="exact"/>
        <w:jc w:val="center"/>
        <w:rPr>
          <w:rStyle w:val="17"/>
          <w:rFonts w:ascii="宋体" w:hAnsi="宋体"/>
          <w:b/>
          <w:sz w:val="30"/>
        </w:rPr>
      </w:pPr>
    </w:p>
    <w:p>
      <w:pPr>
        <w:spacing w:line="360" w:lineRule="exact"/>
        <w:jc w:val="center"/>
        <w:rPr>
          <w:rStyle w:val="17"/>
          <w:rFonts w:ascii="宋体" w:hAnsi="宋体"/>
          <w:b/>
          <w:sz w:val="30"/>
        </w:rPr>
      </w:pPr>
    </w:p>
    <w:p>
      <w:pPr>
        <w:spacing w:line="360" w:lineRule="auto"/>
        <w:jc w:val="center"/>
        <w:rPr>
          <w:rStyle w:val="17"/>
          <w:rFonts w:ascii="楷体_GB2312" w:eastAsia="楷体_GB2312"/>
          <w:b/>
          <w:spacing w:val="20"/>
          <w:sz w:val="44"/>
        </w:rPr>
      </w:pPr>
      <w:r>
        <w:rPr>
          <w:rStyle w:val="17"/>
          <w:rFonts w:ascii="楷体_GB2312" w:eastAsia="楷体_GB2312"/>
          <w:b/>
          <w:spacing w:val="20"/>
          <w:sz w:val="44"/>
        </w:rPr>
        <w:t>项目名称： 信创配套项目</w:t>
      </w:r>
    </w:p>
    <w:p>
      <w:pPr>
        <w:spacing w:line="360" w:lineRule="exact"/>
        <w:jc w:val="center"/>
        <w:rPr>
          <w:rStyle w:val="17"/>
          <w:rFonts w:ascii="宋体" w:hAnsi="宋体"/>
          <w:sz w:val="32"/>
          <w:szCs w:val="32"/>
        </w:rPr>
      </w:pPr>
    </w:p>
    <w:p>
      <w:pPr>
        <w:spacing w:line="360" w:lineRule="exact"/>
        <w:jc w:val="center"/>
        <w:rPr>
          <w:rStyle w:val="17"/>
          <w:rFonts w:ascii="宋体" w:hAnsi="宋体"/>
          <w:sz w:val="32"/>
          <w:szCs w:val="32"/>
        </w:rPr>
      </w:pPr>
    </w:p>
    <w:p>
      <w:pPr>
        <w:spacing w:line="360" w:lineRule="exact"/>
        <w:jc w:val="center"/>
        <w:rPr>
          <w:rStyle w:val="17"/>
          <w:rFonts w:ascii="宋体" w:hAnsi="宋体"/>
          <w:sz w:val="30"/>
        </w:rPr>
      </w:pPr>
    </w:p>
    <w:p>
      <w:pPr>
        <w:spacing w:line="360" w:lineRule="exact"/>
        <w:jc w:val="center"/>
        <w:rPr>
          <w:rStyle w:val="17"/>
          <w:rFonts w:ascii="宋体" w:hAnsi="宋体"/>
          <w:sz w:val="30"/>
        </w:rPr>
      </w:pPr>
      <w:r>
        <w:pict>
          <v:shape id="_x0000_s1026" o:spid="_x0000_s1026" o:spt="75" type="#_x0000_t75" style="position:absolute;left:0pt;margin-left:147.15pt;margin-top:7.2pt;height:140.95pt;width:183.75pt;mso-wrap-distance-bottom:0pt;mso-wrap-distance-top:0pt;z-index:251659264;mso-width-relative:page;mso-height-relative:page;" filled="f" stroked="f" coordsize="21600,21600" o:allowincell="f" adj="0,0,0">
            <v:path/>
            <v:fill on="f" focussize="0,0"/>
            <v:stroke on="f"/>
            <v:imagedata r:id="rId6" o:title="image1"/>
            <o:lock v:ext="edit" aspectratio="t"/>
            <w10:wrap type="topAndBottom"/>
          </v:shape>
        </w:pict>
      </w:r>
    </w:p>
    <w:p>
      <w:pPr>
        <w:spacing w:line="360" w:lineRule="exact"/>
        <w:jc w:val="center"/>
        <w:rPr>
          <w:rStyle w:val="17"/>
          <w:rFonts w:ascii="宋体" w:hAnsi="宋体"/>
          <w:sz w:val="30"/>
        </w:rPr>
      </w:pPr>
    </w:p>
    <w:p>
      <w:pPr>
        <w:spacing w:line="360" w:lineRule="exact"/>
        <w:jc w:val="center"/>
        <w:rPr>
          <w:rStyle w:val="17"/>
          <w:rFonts w:ascii="宋体" w:hAnsi="宋体"/>
          <w:sz w:val="30"/>
        </w:rPr>
      </w:pPr>
    </w:p>
    <w:p>
      <w:pPr>
        <w:spacing w:line="360" w:lineRule="exact"/>
        <w:jc w:val="center"/>
        <w:rPr>
          <w:rStyle w:val="17"/>
          <w:rFonts w:ascii="宋体" w:hAnsi="宋体"/>
          <w:sz w:val="30"/>
        </w:rPr>
      </w:pPr>
    </w:p>
    <w:p>
      <w:pPr>
        <w:spacing w:line="500" w:lineRule="exact"/>
        <w:jc w:val="center"/>
        <w:rPr>
          <w:rStyle w:val="17"/>
          <w:rFonts w:ascii="楷体_GB2312" w:eastAsia="楷体_GB2312"/>
          <w:b/>
          <w:spacing w:val="20"/>
          <w:sz w:val="32"/>
          <w:szCs w:val="32"/>
        </w:rPr>
      </w:pPr>
      <w:r>
        <w:rPr>
          <w:rStyle w:val="17"/>
          <w:rFonts w:ascii="楷体_GB2312" w:eastAsia="楷体_GB2312"/>
          <w:b/>
          <w:spacing w:val="20"/>
          <w:sz w:val="44"/>
        </w:rPr>
        <w:t>南通市海门区人民检察院印制</w:t>
      </w:r>
    </w:p>
    <w:p>
      <w:pPr>
        <w:spacing w:line="500" w:lineRule="exact"/>
        <w:jc w:val="center"/>
        <w:rPr>
          <w:rStyle w:val="17"/>
          <w:rFonts w:ascii="仿宋_GB2312" w:eastAsia="仿宋_GB2312"/>
          <w:b/>
          <w:sz w:val="36"/>
          <w:szCs w:val="36"/>
        </w:rPr>
      </w:pPr>
      <w:r>
        <w:rPr>
          <w:rStyle w:val="17"/>
          <w:rFonts w:ascii="仿宋_GB2312" w:eastAsia="仿宋_GB2312"/>
          <w:b/>
          <w:sz w:val="36"/>
          <w:szCs w:val="36"/>
        </w:rPr>
        <w:t>二O二二年五月二十</w:t>
      </w:r>
      <w:r>
        <w:rPr>
          <w:rStyle w:val="17"/>
          <w:rFonts w:hint="eastAsia" w:ascii="仿宋_GB2312" w:eastAsia="仿宋_GB2312"/>
          <w:b/>
          <w:sz w:val="36"/>
          <w:szCs w:val="36"/>
        </w:rPr>
        <w:t>六</w:t>
      </w:r>
      <w:r>
        <w:rPr>
          <w:rStyle w:val="17"/>
          <w:rFonts w:ascii="仿宋_GB2312" w:eastAsia="仿宋_GB2312"/>
          <w:b/>
          <w:sz w:val="36"/>
          <w:szCs w:val="36"/>
        </w:rPr>
        <w:t>日</w:t>
      </w:r>
    </w:p>
    <w:p>
      <w:pPr>
        <w:snapToGrid w:val="0"/>
        <w:ind w:left="-158" w:leftChars="-75"/>
        <w:rPr>
          <w:rStyle w:val="17"/>
          <w:rFonts w:ascii="宋体" w:hAnsi="宋体"/>
          <w:b/>
          <w:sz w:val="26"/>
          <w:szCs w:val="28"/>
          <w:u w:val="single"/>
        </w:rPr>
      </w:pPr>
      <w:r>
        <w:rPr>
          <w:rStyle w:val="17"/>
          <w:rFonts w:ascii="宋体" w:hAnsi="宋体"/>
          <w:b/>
          <w:sz w:val="26"/>
          <w:szCs w:val="28"/>
          <w:u w:val="single" w:color="000000"/>
        </w:rPr>
        <w:t xml:space="preserve">                                                                           </w:t>
      </w:r>
    </w:p>
    <w:p>
      <w:pPr>
        <w:snapToGrid w:val="0"/>
        <w:ind w:left="-158" w:leftChars="-75"/>
        <w:rPr>
          <w:rStyle w:val="17"/>
          <w:rFonts w:ascii="宋体" w:hAnsi="宋体"/>
          <w:b/>
          <w:sz w:val="28"/>
          <w:szCs w:val="28"/>
        </w:rPr>
      </w:pPr>
      <w:r>
        <w:rPr>
          <w:rStyle w:val="17"/>
          <w:rFonts w:ascii="宋体" w:hAnsi="宋体"/>
          <w:b/>
          <w:sz w:val="28"/>
          <w:szCs w:val="28"/>
        </w:rPr>
        <w:t>地址:</w:t>
      </w:r>
      <w:r>
        <w:rPr>
          <w:rStyle w:val="17"/>
          <w:rFonts w:ascii="宋体" w:hAnsi="宋体"/>
          <w:sz w:val="28"/>
          <w:szCs w:val="28"/>
        </w:rPr>
        <w:t xml:space="preserve"> </w:t>
      </w:r>
      <w:r>
        <w:rPr>
          <w:rStyle w:val="17"/>
          <w:rFonts w:ascii="宋体" w:hAnsi="宋体" w:cs="宋体"/>
          <w:b/>
          <w:bCs/>
          <w:sz w:val="28"/>
          <w:szCs w:val="28"/>
        </w:rPr>
        <w:t>江苏省南通市海门区长江路988号</w:t>
      </w:r>
      <w:r>
        <w:rPr>
          <w:rStyle w:val="17"/>
          <w:rFonts w:ascii="宋体" w:hAnsi="宋体"/>
          <w:b/>
          <w:bCs/>
          <w:sz w:val="28"/>
          <w:szCs w:val="28"/>
        </w:rPr>
        <w:t xml:space="preserve">  </w:t>
      </w:r>
      <w:r>
        <w:rPr>
          <w:rStyle w:val="17"/>
          <w:rFonts w:ascii="宋体" w:hAnsi="宋体"/>
          <w:b/>
          <w:sz w:val="28"/>
          <w:szCs w:val="28"/>
        </w:rPr>
        <w:t xml:space="preserve">              邮政编码：226100 </w:t>
      </w:r>
    </w:p>
    <w:p>
      <w:pPr>
        <w:spacing w:line="360" w:lineRule="auto"/>
        <w:rPr>
          <w:rStyle w:val="17"/>
          <w:rFonts w:ascii="宋体" w:hAnsi="宋体"/>
          <w:b/>
          <w:bCs/>
          <w:sz w:val="24"/>
        </w:rPr>
      </w:pPr>
      <w:r>
        <w:rPr>
          <w:rStyle w:val="17"/>
          <w:rFonts w:ascii="宋体" w:hAnsi="宋体"/>
          <w:b/>
          <w:sz w:val="24"/>
          <w:szCs w:val="28"/>
        </w:rPr>
        <w:t xml:space="preserve">  </w:t>
      </w:r>
    </w:p>
    <w:p>
      <w:pPr>
        <w:spacing w:line="500" w:lineRule="exact"/>
        <w:jc w:val="center"/>
        <w:rPr>
          <w:rStyle w:val="17"/>
          <w:rFonts w:ascii="宋体" w:hAnsi="宋体"/>
          <w:sz w:val="44"/>
          <w:szCs w:val="44"/>
        </w:rPr>
      </w:pPr>
      <w:r>
        <w:rPr>
          <w:rStyle w:val="17"/>
          <w:rFonts w:ascii="宋体" w:hAnsi="宋体"/>
          <w:sz w:val="44"/>
          <w:szCs w:val="44"/>
        </w:rPr>
        <w:br w:type="textWrapping"/>
      </w:r>
    </w:p>
    <w:p>
      <w:pPr>
        <w:spacing w:line="500" w:lineRule="exact"/>
        <w:jc w:val="center"/>
        <w:rPr>
          <w:rStyle w:val="17"/>
          <w:rFonts w:ascii="宋体" w:hAnsi="宋体"/>
          <w:sz w:val="44"/>
          <w:szCs w:val="44"/>
        </w:rPr>
      </w:pPr>
      <w:r>
        <w:rPr>
          <w:rStyle w:val="17"/>
          <w:rFonts w:ascii="宋体" w:hAnsi="宋体"/>
          <w:sz w:val="44"/>
          <w:szCs w:val="44"/>
        </w:rPr>
        <w:t>目      录</w:t>
      </w:r>
    </w:p>
    <w:p>
      <w:pPr>
        <w:spacing w:line="500" w:lineRule="exact"/>
        <w:jc w:val="center"/>
        <w:rPr>
          <w:rStyle w:val="17"/>
          <w:rFonts w:ascii="宋体" w:hAnsi="宋体"/>
          <w:sz w:val="44"/>
        </w:rPr>
      </w:pPr>
    </w:p>
    <w:p>
      <w:pPr>
        <w:tabs>
          <w:tab w:val="left" w:pos="7740"/>
        </w:tabs>
        <w:spacing w:line="500" w:lineRule="exact"/>
        <w:rPr>
          <w:rStyle w:val="17"/>
          <w:rFonts w:ascii="宋体" w:hAnsi="宋体"/>
          <w:spacing w:val="2"/>
          <w:sz w:val="32"/>
          <w:szCs w:val="32"/>
        </w:rPr>
      </w:pPr>
      <w:r>
        <w:rPr>
          <w:rStyle w:val="17"/>
          <w:rFonts w:ascii="宋体" w:hAnsi="宋体"/>
          <w:bCs/>
          <w:sz w:val="32"/>
          <w:szCs w:val="32"/>
        </w:rPr>
        <w:t>第一部分  询价公告</w:t>
      </w:r>
    </w:p>
    <w:p>
      <w:pPr>
        <w:tabs>
          <w:tab w:val="left" w:pos="7740"/>
        </w:tabs>
        <w:spacing w:line="500" w:lineRule="exact"/>
        <w:rPr>
          <w:rStyle w:val="17"/>
          <w:rFonts w:ascii="宋体" w:hAnsi="宋体"/>
          <w:sz w:val="32"/>
          <w:szCs w:val="32"/>
        </w:rPr>
      </w:pPr>
    </w:p>
    <w:p>
      <w:pPr>
        <w:tabs>
          <w:tab w:val="left" w:pos="7740"/>
        </w:tabs>
        <w:spacing w:line="500" w:lineRule="exact"/>
        <w:rPr>
          <w:rStyle w:val="17"/>
          <w:rFonts w:ascii="宋体" w:hAnsi="宋体"/>
          <w:spacing w:val="2"/>
          <w:sz w:val="32"/>
          <w:szCs w:val="32"/>
        </w:rPr>
      </w:pPr>
      <w:r>
        <w:rPr>
          <w:rStyle w:val="17"/>
          <w:rFonts w:ascii="宋体" w:hAnsi="宋体"/>
          <w:bCs/>
          <w:sz w:val="32"/>
          <w:szCs w:val="32"/>
        </w:rPr>
        <w:t>第二部分  询价须知</w:t>
      </w:r>
    </w:p>
    <w:p>
      <w:pPr>
        <w:spacing w:line="500" w:lineRule="exact"/>
        <w:rPr>
          <w:rStyle w:val="17"/>
          <w:rFonts w:ascii="宋体" w:hAnsi="宋体"/>
          <w:sz w:val="32"/>
          <w:szCs w:val="32"/>
        </w:rPr>
      </w:pPr>
    </w:p>
    <w:p>
      <w:pPr>
        <w:tabs>
          <w:tab w:val="left" w:pos="7740"/>
        </w:tabs>
        <w:spacing w:line="500" w:lineRule="exact"/>
        <w:rPr>
          <w:rStyle w:val="17"/>
          <w:rFonts w:ascii="宋体" w:hAnsi="宋体"/>
          <w:spacing w:val="2"/>
          <w:sz w:val="32"/>
          <w:szCs w:val="32"/>
        </w:rPr>
      </w:pPr>
      <w:r>
        <w:rPr>
          <w:rStyle w:val="17"/>
          <w:rFonts w:ascii="宋体" w:hAnsi="宋体"/>
          <w:bCs/>
          <w:sz w:val="32"/>
          <w:szCs w:val="32"/>
        </w:rPr>
        <w:t>第三部分  项目需求说明</w:t>
      </w:r>
    </w:p>
    <w:p>
      <w:pPr>
        <w:pStyle w:val="3"/>
        <w:tabs>
          <w:tab w:val="left" w:pos="7740"/>
          <w:tab w:val="left" w:pos="7920"/>
        </w:tabs>
        <w:spacing w:line="500" w:lineRule="exact"/>
        <w:rPr>
          <w:rStyle w:val="17"/>
          <w:rFonts w:ascii="宋体" w:hAnsi="宋体"/>
          <w:sz w:val="32"/>
          <w:szCs w:val="32"/>
        </w:rPr>
      </w:pPr>
    </w:p>
    <w:p>
      <w:pPr>
        <w:tabs>
          <w:tab w:val="left" w:pos="7740"/>
        </w:tabs>
        <w:spacing w:line="500" w:lineRule="exact"/>
        <w:rPr>
          <w:rStyle w:val="17"/>
          <w:rFonts w:ascii="宋体" w:hAnsi="宋体"/>
          <w:spacing w:val="2"/>
          <w:sz w:val="32"/>
          <w:szCs w:val="32"/>
        </w:rPr>
      </w:pPr>
      <w:r>
        <w:rPr>
          <w:rStyle w:val="17"/>
          <w:rFonts w:ascii="宋体" w:hAnsi="宋体"/>
          <w:sz w:val="32"/>
          <w:szCs w:val="32"/>
        </w:rPr>
        <w:t xml:space="preserve">第四部分  </w:t>
      </w:r>
      <w:r>
        <w:rPr>
          <w:rStyle w:val="17"/>
          <w:rFonts w:ascii="宋体" w:hAnsi="宋体"/>
          <w:bCs/>
          <w:sz w:val="32"/>
          <w:szCs w:val="32"/>
        </w:rPr>
        <w:t>开标和评标</w:t>
      </w:r>
    </w:p>
    <w:p>
      <w:pPr>
        <w:spacing w:line="500" w:lineRule="exact"/>
        <w:rPr>
          <w:rStyle w:val="17"/>
          <w:rFonts w:ascii="宋体" w:hAnsi="宋体"/>
          <w:sz w:val="32"/>
          <w:szCs w:val="32"/>
        </w:rPr>
      </w:pPr>
    </w:p>
    <w:p>
      <w:pPr>
        <w:tabs>
          <w:tab w:val="left" w:pos="7740"/>
        </w:tabs>
        <w:spacing w:line="500" w:lineRule="exact"/>
        <w:rPr>
          <w:rStyle w:val="17"/>
          <w:rFonts w:ascii="宋体" w:hAnsi="宋体"/>
          <w:spacing w:val="2"/>
          <w:sz w:val="32"/>
          <w:szCs w:val="32"/>
        </w:rPr>
      </w:pPr>
      <w:r>
        <w:rPr>
          <w:rStyle w:val="17"/>
          <w:rFonts w:ascii="宋体" w:hAnsi="宋体"/>
          <w:bCs/>
          <w:sz w:val="32"/>
          <w:szCs w:val="32"/>
        </w:rPr>
        <w:t>第五部分  合同签订与验收付款</w:t>
      </w:r>
    </w:p>
    <w:p>
      <w:pPr>
        <w:spacing w:line="500" w:lineRule="exact"/>
        <w:rPr>
          <w:rStyle w:val="17"/>
          <w:rFonts w:ascii="宋体" w:hAnsi="宋体"/>
          <w:sz w:val="32"/>
          <w:szCs w:val="32"/>
        </w:rPr>
      </w:pPr>
    </w:p>
    <w:p>
      <w:pPr>
        <w:tabs>
          <w:tab w:val="left" w:pos="7740"/>
        </w:tabs>
        <w:spacing w:line="500" w:lineRule="exact"/>
        <w:rPr>
          <w:rStyle w:val="17"/>
          <w:rFonts w:ascii="宋体" w:hAnsi="宋体"/>
          <w:spacing w:val="2"/>
          <w:sz w:val="32"/>
          <w:szCs w:val="32"/>
        </w:rPr>
      </w:pPr>
      <w:r>
        <w:rPr>
          <w:rStyle w:val="17"/>
          <w:rFonts w:ascii="宋体" w:hAnsi="宋体"/>
          <w:bCs/>
          <w:sz w:val="32"/>
          <w:szCs w:val="32"/>
        </w:rPr>
        <w:t>第六部分  质疑提出和处理</w:t>
      </w:r>
    </w:p>
    <w:p>
      <w:pPr>
        <w:spacing w:line="500" w:lineRule="exact"/>
        <w:rPr>
          <w:rStyle w:val="17"/>
          <w:rFonts w:ascii="宋体" w:hAnsi="宋体"/>
          <w:sz w:val="32"/>
          <w:szCs w:val="32"/>
        </w:rPr>
      </w:pPr>
    </w:p>
    <w:p>
      <w:pPr>
        <w:tabs>
          <w:tab w:val="left" w:pos="7740"/>
        </w:tabs>
        <w:spacing w:line="500" w:lineRule="exact"/>
        <w:rPr>
          <w:rStyle w:val="17"/>
          <w:rFonts w:ascii="宋体" w:hAnsi="宋体"/>
          <w:spacing w:val="2"/>
          <w:sz w:val="32"/>
          <w:szCs w:val="32"/>
        </w:rPr>
      </w:pPr>
      <w:r>
        <w:rPr>
          <w:rStyle w:val="17"/>
          <w:rFonts w:ascii="宋体" w:hAnsi="宋体"/>
          <w:bCs/>
          <w:sz w:val="32"/>
          <w:szCs w:val="32"/>
        </w:rPr>
        <w:t>第七部分  询价文件组成</w:t>
      </w:r>
    </w:p>
    <w:p>
      <w:pPr>
        <w:spacing w:line="500" w:lineRule="exact"/>
        <w:rPr>
          <w:rStyle w:val="17"/>
          <w:rFonts w:ascii="楷体_GB2312" w:eastAsia="楷体_GB2312"/>
          <w:b/>
          <w:sz w:val="32"/>
          <w:szCs w:val="32"/>
        </w:rPr>
      </w:pPr>
    </w:p>
    <w:p>
      <w:pPr>
        <w:tabs>
          <w:tab w:val="left" w:pos="7740"/>
        </w:tabs>
        <w:spacing w:line="500" w:lineRule="exact"/>
        <w:rPr>
          <w:rStyle w:val="17"/>
          <w:rFonts w:ascii="楷体_GB2312" w:eastAsia="楷体_GB2312"/>
          <w:b/>
          <w:spacing w:val="2"/>
          <w:sz w:val="32"/>
          <w:szCs w:val="32"/>
        </w:rPr>
      </w:pPr>
    </w:p>
    <w:p>
      <w:pPr>
        <w:tabs>
          <w:tab w:val="left" w:pos="7740"/>
        </w:tabs>
        <w:spacing w:line="500" w:lineRule="exact"/>
        <w:rPr>
          <w:rStyle w:val="17"/>
          <w:rFonts w:ascii="楷体_GB2312" w:eastAsia="楷体_GB2312"/>
          <w:b/>
          <w:spacing w:val="2"/>
          <w:sz w:val="32"/>
          <w:szCs w:val="32"/>
        </w:rPr>
      </w:pPr>
    </w:p>
    <w:p>
      <w:pPr>
        <w:tabs>
          <w:tab w:val="left" w:pos="7740"/>
        </w:tabs>
        <w:spacing w:line="500" w:lineRule="exact"/>
        <w:rPr>
          <w:rStyle w:val="17"/>
          <w:rFonts w:ascii="楷体_GB2312" w:eastAsia="楷体_GB2312"/>
          <w:b/>
          <w:bCs/>
          <w:sz w:val="32"/>
          <w:szCs w:val="32"/>
        </w:rPr>
      </w:pPr>
    </w:p>
    <w:p>
      <w:pPr>
        <w:spacing w:line="360" w:lineRule="auto"/>
        <w:jc w:val="center"/>
        <w:rPr>
          <w:rStyle w:val="17"/>
          <w:rFonts w:ascii="宋体" w:hAnsi="宋体"/>
          <w:b/>
          <w:bCs/>
          <w:sz w:val="32"/>
        </w:rPr>
      </w:pPr>
    </w:p>
    <w:p>
      <w:pPr>
        <w:pageBreakBefore/>
        <w:spacing w:line="360" w:lineRule="auto"/>
        <w:jc w:val="center"/>
        <w:rPr>
          <w:rStyle w:val="17"/>
          <w:rFonts w:ascii="宋体" w:hAnsi="宋体"/>
          <w:b/>
          <w:bCs/>
          <w:sz w:val="44"/>
          <w:szCs w:val="44"/>
        </w:rPr>
      </w:pPr>
      <w:r>
        <w:rPr>
          <w:rStyle w:val="17"/>
          <w:rFonts w:ascii="宋体" w:hAnsi="宋体"/>
          <w:b/>
          <w:bCs/>
          <w:sz w:val="44"/>
          <w:szCs w:val="44"/>
        </w:rPr>
        <w:t>第一部分  询价公告</w:t>
      </w:r>
    </w:p>
    <w:p>
      <w:pPr>
        <w:snapToGrid w:val="0"/>
        <w:spacing w:line="300" w:lineRule="auto"/>
        <w:jc w:val="center"/>
        <w:rPr>
          <w:rStyle w:val="17"/>
          <w:rFonts w:ascii="宋体" w:hAnsi="宋体"/>
          <w:b/>
          <w:sz w:val="36"/>
          <w:szCs w:val="36"/>
        </w:rPr>
      </w:pPr>
    </w:p>
    <w:p>
      <w:pPr>
        <w:snapToGrid w:val="0"/>
        <w:spacing w:line="360" w:lineRule="auto"/>
        <w:ind w:firstLine="562" w:firstLineChars="200"/>
        <w:rPr>
          <w:rStyle w:val="17"/>
          <w:rFonts w:ascii="宋体" w:hAnsi="宋体"/>
          <w:b/>
          <w:sz w:val="28"/>
          <w:szCs w:val="28"/>
        </w:rPr>
      </w:pPr>
      <w:r>
        <w:rPr>
          <w:rStyle w:val="17"/>
          <w:rFonts w:ascii="宋体" w:hAnsi="宋体"/>
          <w:b/>
          <w:sz w:val="28"/>
          <w:szCs w:val="28"/>
        </w:rPr>
        <w:t>一、项目基本情况</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项目名称： 信创配套项目</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预算金额：￥228000.00元，最高限价：￥228000.00元，报价超过最高限价的为无效询价。</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采购需求：详见附件，请仔细研究。</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合同履行期限：25日。</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本项目不接受联合体询价。</w:t>
      </w:r>
    </w:p>
    <w:p>
      <w:pPr>
        <w:snapToGrid w:val="0"/>
        <w:spacing w:line="360" w:lineRule="auto"/>
        <w:ind w:firstLine="562" w:firstLineChars="200"/>
        <w:rPr>
          <w:rStyle w:val="17"/>
          <w:rFonts w:ascii="宋体" w:hAnsi="宋体"/>
          <w:b/>
          <w:sz w:val="28"/>
          <w:szCs w:val="28"/>
        </w:rPr>
      </w:pPr>
      <w:r>
        <w:rPr>
          <w:rStyle w:val="17"/>
          <w:rFonts w:ascii="宋体" w:hAnsi="宋体"/>
          <w:b/>
          <w:sz w:val="28"/>
          <w:szCs w:val="28"/>
        </w:rPr>
        <w:t>二、申请人的资格要求：</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（一）满足《中华人民共和国政府采购法》第二十二条规定：</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1.法人或者其他组织的营业执照等证明文件，自然人的身份证明；</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2.具备履行合同所必需的设备和专业技术能力的证明材料；</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3.参加政府采购活动前3年内在经营活动中没有重大违法记录的书面声明（格式见询价文件附件）。</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（二）未被“信用中国”网站（www.creditchina.gov.cn）列入失信被执行人、重大税收违法案件当事人名单、政府采购严重失信行为记录名单；</w:t>
      </w:r>
    </w:p>
    <w:p>
      <w:pPr>
        <w:snapToGrid w:val="0"/>
        <w:spacing w:line="360" w:lineRule="auto"/>
        <w:ind w:firstLine="560" w:firstLineChars="200"/>
        <w:rPr>
          <w:rStyle w:val="17"/>
          <w:rFonts w:ascii="宋体" w:hAnsi="宋体"/>
          <w:kern w:val="0"/>
          <w:sz w:val="28"/>
          <w:szCs w:val="28"/>
        </w:rPr>
      </w:pPr>
      <w:r>
        <w:rPr>
          <w:rStyle w:val="17"/>
          <w:rFonts w:ascii="宋体" w:hAnsi="宋体"/>
          <w:sz w:val="28"/>
          <w:szCs w:val="28"/>
        </w:rPr>
        <w:t>（三）本项目的特定资格要求：无。</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（四）落实政府采购政策需满足的资格要求：无。</w:t>
      </w:r>
    </w:p>
    <w:p>
      <w:pPr>
        <w:snapToGrid w:val="0"/>
        <w:spacing w:line="360" w:lineRule="auto"/>
        <w:ind w:firstLine="562" w:firstLineChars="200"/>
        <w:rPr>
          <w:rStyle w:val="17"/>
          <w:rFonts w:ascii="宋体" w:hAnsi="宋体"/>
          <w:b/>
          <w:sz w:val="28"/>
          <w:szCs w:val="28"/>
        </w:rPr>
      </w:pPr>
      <w:r>
        <w:rPr>
          <w:rStyle w:val="17"/>
          <w:rFonts w:ascii="宋体" w:hAnsi="宋体"/>
          <w:b/>
          <w:sz w:val="28"/>
          <w:szCs w:val="28"/>
        </w:rPr>
        <w:t>三、获取询价文件</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时间：2022年5月26日至2022年6月</w:t>
      </w:r>
      <w:r>
        <w:rPr>
          <w:rStyle w:val="17"/>
          <w:rFonts w:hint="eastAsia" w:ascii="宋体" w:hAnsi="宋体"/>
          <w:sz w:val="28"/>
          <w:szCs w:val="28"/>
          <w:lang w:val="en-US" w:eastAsia="zh-CN"/>
        </w:rPr>
        <w:t>2</w:t>
      </w:r>
      <w:r>
        <w:rPr>
          <w:rStyle w:val="17"/>
          <w:rFonts w:ascii="宋体" w:hAnsi="宋体"/>
          <w:sz w:val="28"/>
          <w:szCs w:val="28"/>
        </w:rPr>
        <w:t>日 （北京时间）。</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方式：南通市海门区人民检察院网站免费获取。</w:t>
      </w:r>
    </w:p>
    <w:p>
      <w:pPr>
        <w:snapToGrid w:val="0"/>
        <w:spacing w:line="360" w:lineRule="auto"/>
        <w:ind w:firstLine="562" w:firstLineChars="200"/>
        <w:rPr>
          <w:rStyle w:val="17"/>
          <w:rFonts w:ascii="宋体" w:hAnsi="宋体"/>
          <w:b/>
          <w:sz w:val="28"/>
          <w:szCs w:val="28"/>
        </w:rPr>
      </w:pPr>
      <w:r>
        <w:rPr>
          <w:rStyle w:val="17"/>
          <w:rFonts w:ascii="宋体" w:hAnsi="宋体"/>
          <w:b/>
          <w:sz w:val="28"/>
          <w:szCs w:val="28"/>
        </w:rPr>
        <w:t>四、提交询价文件截止时间、开标时间和地点</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递交时间： 2022年 6月</w:t>
      </w:r>
      <w:r>
        <w:rPr>
          <w:rStyle w:val="17"/>
          <w:rFonts w:hint="eastAsia" w:ascii="宋体" w:hAnsi="宋体"/>
          <w:sz w:val="28"/>
          <w:szCs w:val="28"/>
          <w:lang w:val="en-US" w:eastAsia="zh-CN"/>
        </w:rPr>
        <w:t>2</w:t>
      </w:r>
      <w:r>
        <w:rPr>
          <w:rStyle w:val="17"/>
          <w:rFonts w:ascii="宋体" w:hAnsi="宋体"/>
          <w:sz w:val="28"/>
          <w:szCs w:val="28"/>
        </w:rPr>
        <w:t>日 9点（北京时间）。</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开启时间： 2022年 6月</w:t>
      </w:r>
      <w:r>
        <w:rPr>
          <w:rStyle w:val="17"/>
          <w:rFonts w:hint="eastAsia" w:ascii="宋体" w:hAnsi="宋体"/>
          <w:sz w:val="28"/>
          <w:szCs w:val="28"/>
          <w:lang w:val="en-US" w:eastAsia="zh-CN"/>
        </w:rPr>
        <w:t>2</w:t>
      </w:r>
      <w:bookmarkStart w:id="0" w:name="_GoBack"/>
      <w:bookmarkEnd w:id="0"/>
      <w:r>
        <w:rPr>
          <w:rStyle w:val="17"/>
          <w:rFonts w:ascii="宋体" w:hAnsi="宋体"/>
          <w:sz w:val="28"/>
          <w:szCs w:val="28"/>
        </w:rPr>
        <w:t>日 9点（北京时间）。</w:t>
      </w:r>
    </w:p>
    <w:p>
      <w:pPr>
        <w:snapToGrid w:val="0"/>
        <w:spacing w:line="360" w:lineRule="auto"/>
        <w:ind w:firstLine="560" w:firstLineChars="200"/>
        <w:rPr>
          <w:rStyle w:val="17"/>
          <w:rFonts w:ascii="宋体" w:hAnsi="宋体"/>
          <w:i/>
          <w:sz w:val="28"/>
          <w:szCs w:val="28"/>
        </w:rPr>
      </w:pPr>
      <w:r>
        <w:rPr>
          <w:rStyle w:val="17"/>
          <w:rFonts w:ascii="宋体" w:hAnsi="宋体"/>
          <w:sz w:val="28"/>
          <w:szCs w:val="28"/>
        </w:rPr>
        <w:t>地点：</w:t>
      </w:r>
      <w:r>
        <w:rPr>
          <w:rStyle w:val="17"/>
          <w:rFonts w:ascii="宋体" w:hAnsi="宋体"/>
          <w:color w:val="2C2C2C"/>
          <w:sz w:val="28"/>
          <w:szCs w:val="28"/>
        </w:rPr>
        <w:t>海门区人民检察院主楼311室，如有变动，另行通知</w:t>
      </w:r>
    </w:p>
    <w:p>
      <w:pPr>
        <w:snapToGrid w:val="0"/>
        <w:spacing w:line="360" w:lineRule="auto"/>
        <w:ind w:firstLine="562" w:firstLineChars="200"/>
        <w:rPr>
          <w:rStyle w:val="17"/>
          <w:rFonts w:ascii="宋体" w:hAnsi="宋体"/>
          <w:b/>
          <w:sz w:val="28"/>
          <w:szCs w:val="28"/>
        </w:rPr>
      </w:pPr>
      <w:r>
        <w:rPr>
          <w:rStyle w:val="17"/>
          <w:rFonts w:ascii="宋体" w:hAnsi="宋体"/>
          <w:b/>
          <w:sz w:val="28"/>
          <w:szCs w:val="28"/>
        </w:rPr>
        <w:t>五、其他补充事宜</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1.项目开标活动模式：本项目现场递交纸质响应文件 。</w:t>
      </w:r>
    </w:p>
    <w:p>
      <w:pPr>
        <w:snapToGrid w:val="0"/>
        <w:spacing w:line="360" w:lineRule="auto"/>
        <w:ind w:firstLine="562" w:firstLineChars="200"/>
        <w:rPr>
          <w:rStyle w:val="17"/>
          <w:rFonts w:ascii="宋体" w:hAnsi="宋体"/>
          <w:b/>
          <w:sz w:val="28"/>
          <w:szCs w:val="28"/>
        </w:rPr>
      </w:pPr>
      <w:r>
        <w:rPr>
          <w:rStyle w:val="17"/>
          <w:rFonts w:ascii="宋体" w:hAnsi="宋体"/>
          <w:b/>
          <w:sz w:val="28"/>
          <w:szCs w:val="28"/>
        </w:rPr>
        <w:t>六、对本次询价提出询问，请按以下方式联系。</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 xml:space="preserve"> 联系人信息</w:t>
      </w:r>
    </w:p>
    <w:p>
      <w:pPr>
        <w:shd w:val="clear" w:color="auto" w:fill="FFFFFF"/>
        <w:snapToGrid w:val="0"/>
        <w:spacing w:line="360" w:lineRule="auto"/>
        <w:ind w:firstLine="700" w:firstLineChars="250"/>
        <w:jc w:val="left"/>
        <w:rPr>
          <w:rStyle w:val="17"/>
          <w:rFonts w:ascii="宋体" w:hAnsi="宋体"/>
          <w:sz w:val="28"/>
          <w:szCs w:val="28"/>
        </w:rPr>
      </w:pPr>
      <w:r>
        <w:rPr>
          <w:rStyle w:val="17"/>
          <w:rFonts w:ascii="宋体" w:hAnsi="宋体"/>
          <w:sz w:val="28"/>
          <w:szCs w:val="28"/>
        </w:rPr>
        <w:t xml:space="preserve">名称：南通市海门区人民检察院      </w:t>
      </w:r>
    </w:p>
    <w:p>
      <w:pPr>
        <w:shd w:val="clear" w:color="auto" w:fill="FFFFFF"/>
        <w:snapToGrid w:val="0"/>
        <w:spacing w:line="360" w:lineRule="auto"/>
        <w:ind w:firstLine="700" w:firstLineChars="250"/>
        <w:jc w:val="left"/>
        <w:rPr>
          <w:rStyle w:val="17"/>
          <w:rFonts w:ascii="宋体" w:hAnsi="宋体"/>
          <w:sz w:val="28"/>
          <w:szCs w:val="28"/>
        </w:rPr>
      </w:pPr>
      <w:r>
        <w:rPr>
          <w:rStyle w:val="17"/>
          <w:rFonts w:ascii="宋体" w:hAnsi="宋体"/>
          <w:sz w:val="28"/>
          <w:szCs w:val="28"/>
        </w:rPr>
        <w:t xml:space="preserve">地址：江苏省南通市海门区长江路988号   </w:t>
      </w:r>
    </w:p>
    <w:p>
      <w:pPr>
        <w:shd w:val="clear" w:color="auto" w:fill="FFFFFF"/>
        <w:tabs>
          <w:tab w:val="center" w:pos="4819"/>
        </w:tabs>
        <w:snapToGrid w:val="0"/>
        <w:spacing w:line="360" w:lineRule="auto"/>
        <w:ind w:firstLine="700" w:firstLineChars="250"/>
        <w:jc w:val="left"/>
        <w:rPr>
          <w:rStyle w:val="17"/>
          <w:rFonts w:ascii="宋体" w:hAnsi="宋体"/>
          <w:sz w:val="28"/>
          <w:szCs w:val="28"/>
        </w:rPr>
      </w:pPr>
      <w:r>
        <w:rPr>
          <w:rStyle w:val="17"/>
          <w:rFonts w:ascii="宋体" w:hAnsi="宋体"/>
          <w:sz w:val="28"/>
          <w:szCs w:val="28"/>
        </w:rPr>
        <w:t>联系人：钱警官   联系电话：</w:t>
      </w:r>
      <w:r>
        <w:rPr>
          <w:rStyle w:val="17"/>
          <w:rFonts w:ascii="宋体" w:hAnsi="宋体"/>
          <w:sz w:val="28"/>
          <w:szCs w:val="28"/>
        </w:rPr>
        <w:tab/>
      </w:r>
      <w:r>
        <w:rPr>
          <w:rStyle w:val="17"/>
          <w:rFonts w:ascii="宋体" w:hAnsi="宋体"/>
          <w:sz w:val="28"/>
          <w:szCs w:val="28"/>
        </w:rPr>
        <w:t xml:space="preserve">0513-69966669 </w:t>
      </w:r>
    </w:p>
    <w:p>
      <w:pPr>
        <w:spacing w:line="360" w:lineRule="auto"/>
        <w:jc w:val="left"/>
        <w:rPr>
          <w:rStyle w:val="17"/>
          <w:rFonts w:ascii="宋体" w:hAnsi="宋体"/>
          <w:sz w:val="24"/>
          <w:szCs w:val="24"/>
        </w:rPr>
      </w:pPr>
    </w:p>
    <w:p>
      <w:pPr>
        <w:spacing w:line="360" w:lineRule="auto"/>
        <w:ind w:firstLine="372" w:firstLineChars="155"/>
        <w:jc w:val="left"/>
        <w:rPr>
          <w:rStyle w:val="17"/>
          <w:rFonts w:ascii="宋体" w:hAnsi="宋体"/>
          <w:sz w:val="24"/>
          <w:szCs w:val="24"/>
        </w:rPr>
      </w:pPr>
    </w:p>
    <w:p>
      <w:pPr>
        <w:snapToGrid w:val="0"/>
        <w:spacing w:line="360" w:lineRule="auto"/>
        <w:jc w:val="center"/>
        <w:rPr>
          <w:rStyle w:val="17"/>
          <w:rFonts w:ascii="宋体" w:hAnsi="宋体"/>
          <w:sz w:val="28"/>
          <w:szCs w:val="28"/>
        </w:rPr>
      </w:pPr>
      <w:r>
        <w:rPr>
          <w:rStyle w:val="17"/>
          <w:rFonts w:ascii="宋体" w:hAnsi="宋体"/>
          <w:b/>
          <w:sz w:val="36"/>
          <w:szCs w:val="36"/>
        </w:rPr>
        <w:t>第二部分  询价须知</w:t>
      </w:r>
    </w:p>
    <w:p>
      <w:pPr>
        <w:snapToGrid w:val="0"/>
        <w:spacing w:line="360" w:lineRule="auto"/>
        <w:ind w:firstLine="500" w:firstLineChars="178"/>
        <w:rPr>
          <w:rStyle w:val="17"/>
          <w:rFonts w:ascii="宋体" w:hAnsi="宋体"/>
          <w:sz w:val="28"/>
          <w:szCs w:val="28"/>
        </w:rPr>
      </w:pPr>
      <w:r>
        <w:rPr>
          <w:rStyle w:val="17"/>
          <w:rFonts w:ascii="宋体" w:hAnsi="宋体"/>
          <w:b/>
          <w:sz w:val="28"/>
          <w:szCs w:val="28"/>
        </w:rPr>
        <w:t>一、询价文件由询价人解释</w:t>
      </w:r>
      <w:r>
        <w:rPr>
          <w:rStyle w:val="17"/>
          <w:rFonts w:ascii="宋体" w:hAnsi="宋体"/>
          <w:sz w:val="28"/>
          <w:szCs w:val="28"/>
        </w:rPr>
        <w:t>。</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1.供应商下载询价文件后，应仔细检查询价文件的所有内容，如对政府采购活动事项有疑问的，应在下载询价文件开始之日起3日内以书面形式提出询问或疑问，未在规定的3日内提出询问或疑问的，视同供应商理解并接受本询价文件所有内容，并由此引起的询价损失自负。</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2.询价人应认真审阅询价文件中所有的事项、格式、条款和规范要求等，如果询价人没有按照询价文件要求提交询价文件，或者询价文件没有对询价文件做出实质性响应，其询价将被拒绝，询价人自行承担责任。</w:t>
      </w:r>
    </w:p>
    <w:p>
      <w:pPr>
        <w:snapToGrid w:val="0"/>
        <w:spacing w:line="360" w:lineRule="auto"/>
        <w:ind w:firstLine="562" w:firstLineChars="200"/>
        <w:rPr>
          <w:rStyle w:val="17"/>
          <w:rFonts w:ascii="宋体" w:hAnsi="宋体"/>
          <w:b/>
          <w:sz w:val="28"/>
          <w:szCs w:val="28"/>
        </w:rPr>
      </w:pPr>
      <w:r>
        <w:rPr>
          <w:rStyle w:val="17"/>
          <w:rFonts w:ascii="宋体" w:hAnsi="宋体"/>
          <w:b/>
          <w:sz w:val="28"/>
          <w:szCs w:val="28"/>
        </w:rPr>
        <w:t>二、询价文件的澄清、修改、答疑</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1.询价人有权对发出的询价文件进行必要的澄清或修改。</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2.询价人可依规视情取消、延长相关时间。</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3.询价人对询价文件的澄清、修改将构成询价文件的一部分，对询价人具有约束力。</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4.询价人由于对询价文件的任何推论和误解以及询价人对有关问题的口头解释所造成的后果，均由询价人自负。</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5.询价人或采购人视情组织答疑会。</w:t>
      </w:r>
    </w:p>
    <w:p>
      <w:pPr>
        <w:snapToGrid w:val="0"/>
        <w:spacing w:after="120" w:line="360" w:lineRule="auto"/>
        <w:ind w:firstLine="562"/>
        <w:rPr>
          <w:rStyle w:val="17"/>
          <w:rFonts w:eastAsia="仿宋_GB2312"/>
          <w:b/>
          <w:bCs/>
          <w:sz w:val="28"/>
          <w:szCs w:val="28"/>
        </w:rPr>
      </w:pPr>
      <w:r>
        <w:rPr>
          <w:rStyle w:val="17"/>
          <w:rFonts w:ascii="仿宋_GB2312" w:eastAsia="仿宋_GB2312" w:cs="仿宋_GB2312"/>
          <w:b/>
          <w:bCs/>
          <w:sz w:val="28"/>
          <w:szCs w:val="28"/>
          <w:lang w:val="zh-CN"/>
        </w:rPr>
        <w:t>三、询价文件的编写、递交</w:t>
      </w:r>
    </w:p>
    <w:p>
      <w:pPr>
        <w:snapToGrid w:val="0"/>
        <w:spacing w:line="360" w:lineRule="auto"/>
        <w:ind w:right="210" w:firstLine="560"/>
        <w:rPr>
          <w:rStyle w:val="17"/>
          <w:rFonts w:ascii="仿宋_GB2312" w:hAnsi="宋体" w:eastAsia="仿宋_GB2312"/>
          <w:b/>
          <w:sz w:val="28"/>
          <w:szCs w:val="28"/>
        </w:rPr>
      </w:pPr>
      <w:r>
        <w:rPr>
          <w:rStyle w:val="17"/>
          <w:rFonts w:ascii="仿宋_GB2312" w:hAnsi="宋体" w:eastAsia="仿宋_GB2312"/>
          <w:b/>
          <w:sz w:val="28"/>
          <w:szCs w:val="28"/>
        </w:rPr>
        <w:t>（一）询价文件的编写</w:t>
      </w:r>
    </w:p>
    <w:p>
      <w:pPr>
        <w:snapToGrid w:val="0"/>
        <w:spacing w:line="360" w:lineRule="auto"/>
        <w:ind w:firstLine="700" w:firstLineChars="250"/>
        <w:rPr>
          <w:rStyle w:val="17"/>
          <w:rFonts w:ascii="宋体" w:hAnsi="宋体"/>
          <w:sz w:val="28"/>
          <w:szCs w:val="28"/>
        </w:rPr>
      </w:pPr>
      <w:r>
        <w:rPr>
          <w:rStyle w:val="17"/>
          <w:rFonts w:ascii="宋体" w:hAnsi="宋体"/>
          <w:sz w:val="28"/>
          <w:szCs w:val="28"/>
        </w:rPr>
        <w:t>供应商按“第七部分 询价文件组成”要求编写询价文件。</w:t>
      </w:r>
    </w:p>
    <w:p>
      <w:pPr>
        <w:snapToGrid w:val="0"/>
        <w:spacing w:line="360" w:lineRule="auto"/>
        <w:ind w:firstLine="562" w:firstLineChars="200"/>
        <w:rPr>
          <w:rStyle w:val="17"/>
          <w:rFonts w:ascii="仿宋_GB2312" w:hAnsi="宋体" w:eastAsia="仿宋_GB2312"/>
          <w:b/>
          <w:sz w:val="28"/>
          <w:szCs w:val="28"/>
        </w:rPr>
      </w:pPr>
      <w:r>
        <w:rPr>
          <w:rStyle w:val="17"/>
          <w:rFonts w:ascii="仿宋_GB2312" w:hAnsi="宋体" w:eastAsia="仿宋_GB2312"/>
          <w:b/>
          <w:sz w:val="28"/>
          <w:szCs w:val="28"/>
        </w:rPr>
        <w:t>（二）询价文件的递交</w:t>
      </w:r>
    </w:p>
    <w:p>
      <w:pPr>
        <w:snapToGrid w:val="0"/>
        <w:spacing w:line="360" w:lineRule="auto"/>
        <w:ind w:firstLine="703" w:firstLineChars="250"/>
        <w:rPr>
          <w:rStyle w:val="17"/>
          <w:rFonts w:ascii="宋体" w:hAnsi="宋体"/>
          <w:sz w:val="28"/>
          <w:szCs w:val="28"/>
        </w:rPr>
      </w:pPr>
      <w:r>
        <w:rPr>
          <w:rStyle w:val="17"/>
          <w:rFonts w:ascii="宋体" w:hAnsi="宋体"/>
          <w:b/>
          <w:sz w:val="28"/>
          <w:szCs w:val="28"/>
        </w:rPr>
        <w:t>友情提醒：拒绝接收在询价文件接收截止时间后递交的询价文件。如果供应商无故不递交询价文件或者故意迟到，影响开评标活动正常进行的，根据《江苏省政府采购信用管理暂行办法》第九条的规定，将被列作一般失信行为。</w:t>
      </w:r>
    </w:p>
    <w:p>
      <w:pPr>
        <w:snapToGrid w:val="0"/>
        <w:spacing w:line="360" w:lineRule="auto"/>
        <w:ind w:firstLine="562" w:firstLineChars="200"/>
        <w:rPr>
          <w:rStyle w:val="17"/>
          <w:rFonts w:ascii="宋体" w:hAnsi="宋体"/>
          <w:b/>
          <w:sz w:val="28"/>
          <w:szCs w:val="28"/>
        </w:rPr>
      </w:pPr>
      <w:r>
        <w:rPr>
          <w:rStyle w:val="17"/>
          <w:rFonts w:ascii="宋体" w:hAnsi="宋体"/>
          <w:b/>
          <w:sz w:val="28"/>
          <w:szCs w:val="28"/>
        </w:rPr>
        <w:t>四、询价报价</w:t>
      </w:r>
    </w:p>
    <w:p>
      <w:pPr>
        <w:pStyle w:val="3"/>
        <w:snapToGrid w:val="0"/>
        <w:spacing w:line="360" w:lineRule="auto"/>
        <w:ind w:firstLine="218" w:firstLineChars="78"/>
        <w:rPr>
          <w:rStyle w:val="17"/>
          <w:rFonts w:ascii="宋体" w:hAnsi="宋体"/>
          <w:b/>
          <w:szCs w:val="28"/>
        </w:rPr>
      </w:pPr>
      <w:r>
        <w:rPr>
          <w:rStyle w:val="17"/>
          <w:rFonts w:ascii="宋体" w:hAnsi="宋体"/>
          <w:sz w:val="28"/>
          <w:szCs w:val="28"/>
        </w:rPr>
        <w:t>一个标的只允许一个报价，不接受任何有选择性的报价。</w:t>
      </w:r>
    </w:p>
    <w:p>
      <w:pPr>
        <w:snapToGrid w:val="0"/>
        <w:spacing w:line="360" w:lineRule="auto"/>
        <w:ind w:firstLine="562" w:firstLineChars="200"/>
        <w:rPr>
          <w:rStyle w:val="17"/>
          <w:rFonts w:ascii="宋体" w:hAnsi="宋体"/>
          <w:sz w:val="28"/>
          <w:szCs w:val="28"/>
        </w:rPr>
      </w:pPr>
      <w:r>
        <w:rPr>
          <w:rStyle w:val="17"/>
          <w:rFonts w:ascii="宋体" w:hAnsi="宋体"/>
          <w:b/>
          <w:bCs/>
          <w:sz w:val="28"/>
          <w:szCs w:val="28"/>
        </w:rPr>
        <w:t>五、</w:t>
      </w:r>
      <w:r>
        <w:rPr>
          <w:rStyle w:val="17"/>
          <w:rFonts w:ascii="宋体" w:hAnsi="宋体"/>
          <w:b/>
          <w:sz w:val="28"/>
          <w:szCs w:val="28"/>
        </w:rPr>
        <w:t>询价</w:t>
      </w:r>
      <w:r>
        <w:rPr>
          <w:rStyle w:val="17"/>
          <w:rFonts w:ascii="宋体" w:hAnsi="宋体"/>
          <w:b/>
          <w:bCs/>
          <w:sz w:val="28"/>
          <w:szCs w:val="28"/>
        </w:rPr>
        <w:t>费用</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1.询价人承担参与询价可能发生的全部费用，询价人在任何情况下均无义务和责任承担这些费用。</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2.询价人不收取任何费用。</w:t>
      </w:r>
    </w:p>
    <w:p>
      <w:pPr>
        <w:jc w:val="center"/>
        <w:rPr>
          <w:rStyle w:val="17"/>
          <w:rFonts w:ascii="宋体" w:hAnsi="宋体"/>
          <w:b/>
          <w:bCs/>
          <w:sz w:val="44"/>
        </w:rPr>
      </w:pPr>
    </w:p>
    <w:p>
      <w:pPr>
        <w:jc w:val="center"/>
        <w:rPr>
          <w:rStyle w:val="17"/>
          <w:rFonts w:ascii="宋体" w:hAnsi="宋体"/>
          <w:b/>
          <w:bCs/>
          <w:sz w:val="44"/>
        </w:rPr>
      </w:pPr>
      <w:r>
        <w:rPr>
          <w:rStyle w:val="17"/>
          <w:rFonts w:ascii="宋体" w:hAnsi="宋体"/>
          <w:b/>
          <w:bCs/>
          <w:sz w:val="44"/>
        </w:rPr>
        <w:t>第三部分  采购项目需求</w:t>
      </w:r>
    </w:p>
    <w:p>
      <w:pPr>
        <w:jc w:val="center"/>
        <w:rPr>
          <w:rStyle w:val="17"/>
          <w:rFonts w:ascii="宋体" w:hAnsi="宋体"/>
          <w:sz w:val="18"/>
          <w:szCs w:val="18"/>
        </w:rPr>
      </w:pPr>
      <w:r>
        <w:rPr>
          <w:rStyle w:val="17"/>
          <w:rFonts w:ascii="宋体" w:hAnsi="宋体"/>
          <w:b/>
          <w:sz w:val="28"/>
          <w:szCs w:val="28"/>
        </w:rPr>
        <w:t xml:space="preserve">第一章 </w:t>
      </w:r>
      <w:r>
        <w:rPr>
          <w:rStyle w:val="17"/>
          <w:rFonts w:ascii="宋体" w:hAnsi="宋体"/>
          <w:b/>
          <w:sz w:val="28"/>
          <w:szCs w:val="28"/>
          <w:lang w:val="zh-CN"/>
        </w:rPr>
        <w:t>有关要求说明</w:t>
      </w:r>
    </w:p>
    <w:p>
      <w:pPr>
        <w:pStyle w:val="46"/>
        <w:snapToGrid w:val="0"/>
        <w:spacing w:line="300" w:lineRule="auto"/>
        <w:ind w:firstLine="560" w:firstLineChars="200"/>
        <w:rPr>
          <w:rStyle w:val="17"/>
          <w:rFonts w:ascii="宋体" w:eastAsia="宋体"/>
          <w:sz w:val="28"/>
        </w:rPr>
      </w:pPr>
      <w:r>
        <w:rPr>
          <w:rStyle w:val="17"/>
          <w:rFonts w:ascii="宋体" w:eastAsia="宋体"/>
          <w:sz w:val="28"/>
          <w:lang w:val="zh-CN"/>
        </w:rPr>
        <w:t>询价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询价人提供的货物和服务同采购人提出的项目需求说明中的技术、商务要求不同的，必须在《商</w:t>
      </w:r>
      <w:r>
        <w:rPr>
          <w:rStyle w:val="17"/>
          <w:rFonts w:ascii="宋体" w:eastAsia="宋体"/>
          <w:sz w:val="28"/>
        </w:rPr>
        <w:t>务部分正负偏离表》和《技术部分正负偏离表》上明示，如不明示的视同完全响应</w:t>
      </w:r>
      <w:r>
        <w:rPr>
          <w:rStyle w:val="17"/>
          <w:rFonts w:ascii="宋体" w:eastAsia="宋体"/>
          <w:sz w:val="28"/>
          <w:lang w:val="zh-CN"/>
        </w:rPr>
        <w:t>。</w:t>
      </w:r>
    </w:p>
    <w:p>
      <w:pPr>
        <w:tabs>
          <w:tab w:val="left" w:pos="1710"/>
        </w:tabs>
        <w:snapToGrid w:val="0"/>
        <w:spacing w:line="300" w:lineRule="auto"/>
        <w:ind w:firstLine="554" w:firstLineChars="197"/>
        <w:rPr>
          <w:rStyle w:val="17"/>
          <w:rFonts w:ascii="宋体" w:hAnsi="宋体"/>
          <w:sz w:val="28"/>
          <w:szCs w:val="28"/>
          <w:lang w:val="zh-CN"/>
        </w:rPr>
      </w:pPr>
      <w:r>
        <w:rPr>
          <w:rStyle w:val="17"/>
          <w:rFonts w:ascii="宋体" w:hAnsi="宋体"/>
          <w:b/>
          <w:sz w:val="28"/>
          <w:szCs w:val="28"/>
        </w:rPr>
        <w:t>1.</w:t>
      </w:r>
      <w:r>
        <w:rPr>
          <w:rStyle w:val="17"/>
          <w:rFonts w:ascii="宋体" w:hAnsi="宋体"/>
          <w:b/>
          <w:sz w:val="28"/>
          <w:szCs w:val="28"/>
          <w:lang w:val="zh-CN"/>
        </w:rPr>
        <w:t>主要技术参数：</w:t>
      </w:r>
      <w:r>
        <w:rPr>
          <w:rStyle w:val="17"/>
          <w:rFonts w:ascii="宋体" w:hAnsi="宋体"/>
          <w:sz w:val="28"/>
          <w:szCs w:val="28"/>
          <w:lang w:val="zh-CN"/>
        </w:rPr>
        <w:t>为鼓励不同品牌的充分竞争，如某主要技术参数属于个别品牌专有，则该主要技术参数不具有限制性，供应商可对该参数进行适当调整，并说明调整的理由。</w:t>
      </w:r>
    </w:p>
    <w:p>
      <w:pPr>
        <w:snapToGrid w:val="0"/>
        <w:spacing w:line="300" w:lineRule="auto"/>
        <w:ind w:firstLine="562" w:firstLineChars="200"/>
        <w:rPr>
          <w:rStyle w:val="17"/>
          <w:rFonts w:ascii="宋体" w:hAnsi="宋体"/>
          <w:kern w:val="0"/>
          <w:sz w:val="28"/>
          <w:szCs w:val="28"/>
          <w:lang w:val="zh-CN"/>
        </w:rPr>
      </w:pPr>
      <w:r>
        <w:rPr>
          <w:rStyle w:val="17"/>
          <w:rFonts w:ascii="宋体" w:hAnsi="宋体"/>
          <w:b/>
          <w:sz w:val="28"/>
          <w:szCs w:val="28"/>
          <w:lang w:val="zh-CN"/>
        </w:rPr>
        <w:t>2.</w:t>
      </w:r>
      <w:r>
        <w:rPr>
          <w:rStyle w:val="17"/>
          <w:rFonts w:ascii="宋体" w:hAnsi="宋体"/>
          <w:kern w:val="0"/>
          <w:sz w:val="28"/>
          <w:szCs w:val="28"/>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pPr>
        <w:spacing w:line="360" w:lineRule="auto"/>
        <w:ind w:firstLine="700" w:firstLineChars="250"/>
        <w:jc w:val="left"/>
        <w:rPr>
          <w:rStyle w:val="17"/>
          <w:rFonts w:ascii="宋体" w:hAnsi="宋体"/>
          <w:bCs/>
          <w:sz w:val="28"/>
          <w:szCs w:val="28"/>
        </w:rPr>
      </w:pPr>
      <w:r>
        <w:rPr>
          <w:rStyle w:val="17"/>
          <w:rFonts w:ascii="宋体" w:hAnsi="宋体"/>
          <w:bCs/>
          <w:sz w:val="28"/>
          <w:szCs w:val="28"/>
        </w:rPr>
        <w:t xml:space="preserve">3.本次采购的办公软件，浏览器，文档处理软件均需基于现有国产操作系统--银河麒麟。 </w:t>
      </w:r>
    </w:p>
    <w:p>
      <w:pPr>
        <w:spacing w:line="360" w:lineRule="auto"/>
        <w:ind w:firstLine="703" w:firstLineChars="250"/>
        <w:jc w:val="left"/>
        <w:rPr>
          <w:rStyle w:val="17"/>
          <w:rFonts w:ascii="宋体" w:hAnsi="宋体"/>
          <w:b/>
          <w:sz w:val="28"/>
          <w:szCs w:val="28"/>
        </w:rPr>
      </w:pPr>
      <w:r>
        <w:rPr>
          <w:rStyle w:val="17"/>
          <w:rFonts w:ascii="宋体" w:hAnsi="宋体"/>
          <w:b/>
          <w:sz w:val="28"/>
          <w:szCs w:val="28"/>
        </w:rPr>
        <w:t>4．本次采购的防火墙、流量入侵检测探针需出具承诺函，加盖原厂公章，承诺无缝对接南通市人民检察院的管理平台。</w:t>
      </w:r>
    </w:p>
    <w:p>
      <w:pPr>
        <w:pStyle w:val="2"/>
        <w:ind w:firstLine="418" w:firstLineChars="161"/>
        <w:rPr>
          <w:rStyle w:val="17"/>
        </w:rPr>
      </w:pPr>
    </w:p>
    <w:p>
      <w:pPr>
        <w:pStyle w:val="2"/>
        <w:ind w:firstLine="418" w:firstLineChars="161"/>
        <w:rPr>
          <w:rStyle w:val="17"/>
        </w:rPr>
      </w:pPr>
    </w:p>
    <w:p>
      <w:pPr>
        <w:pStyle w:val="2"/>
        <w:ind w:firstLine="418" w:firstLineChars="161"/>
        <w:rPr>
          <w:rStyle w:val="17"/>
          <w:rFonts w:hint="eastAsia"/>
        </w:rPr>
      </w:pPr>
    </w:p>
    <w:p>
      <w:pPr>
        <w:spacing w:line="360" w:lineRule="auto"/>
        <w:jc w:val="center"/>
        <w:rPr>
          <w:rStyle w:val="17"/>
          <w:rFonts w:ascii="宋体" w:hAnsi="宋体"/>
          <w:b/>
          <w:sz w:val="28"/>
          <w:szCs w:val="28"/>
        </w:rPr>
      </w:pPr>
      <w:r>
        <w:rPr>
          <w:rStyle w:val="17"/>
          <w:rFonts w:ascii="宋体" w:hAnsi="宋体"/>
          <w:b/>
          <w:sz w:val="28"/>
          <w:szCs w:val="28"/>
        </w:rPr>
        <w:t xml:space="preserve"> 第二章 采购项目具体内容与技术需求</w:t>
      </w:r>
    </w:p>
    <w:p>
      <w:pPr>
        <w:pStyle w:val="2"/>
        <w:ind w:firstLine="520"/>
        <w:rPr>
          <w:rFonts w:hint="eastAsia"/>
        </w:rPr>
      </w:pPr>
    </w:p>
    <w:p>
      <w:pPr>
        <w:spacing w:line="500" w:lineRule="atLeast"/>
        <w:rPr>
          <w:rStyle w:val="17"/>
          <w:rFonts w:ascii="仿宋_GB2312" w:hAnsi="宋体" w:eastAsia="仿宋_GB2312"/>
          <w:b/>
          <w:sz w:val="28"/>
          <w:szCs w:val="28"/>
        </w:rPr>
      </w:pPr>
      <w:r>
        <w:rPr>
          <w:rStyle w:val="17"/>
          <w:rFonts w:ascii="仿宋_GB2312" w:hAnsi="宋体" w:eastAsia="仿宋_GB2312"/>
          <w:b/>
          <w:sz w:val="28"/>
          <w:szCs w:val="28"/>
        </w:rPr>
        <w:t>本次采购清单：</w:t>
      </w:r>
    </w:p>
    <w:tbl>
      <w:tblPr>
        <w:tblStyle w:val="8"/>
        <w:tblW w:w="963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4"/>
        <w:gridCol w:w="2268"/>
        <w:gridCol w:w="1985"/>
        <w:gridCol w:w="2268"/>
        <w:gridCol w:w="1275"/>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20" w:lineRule="exact"/>
              <w:ind w:left="21" w:leftChars="-43" w:right="-90" w:hanging="111"/>
              <w:jc w:val="center"/>
              <w:rPr>
                <w:rStyle w:val="17"/>
                <w:b/>
                <w:bCs/>
                <w:color w:val="000000"/>
                <w:kern w:val="0"/>
                <w:sz w:val="24"/>
                <w:szCs w:val="24"/>
              </w:rPr>
            </w:pPr>
            <w:r>
              <w:rPr>
                <w:rStyle w:val="17"/>
                <w:b/>
                <w:bCs/>
                <w:color w:val="000000"/>
                <w:kern w:val="0"/>
                <w:sz w:val="24"/>
                <w:szCs w:val="24"/>
              </w:rPr>
              <w:t>序号</w:t>
            </w:r>
          </w:p>
        </w:tc>
        <w:tc>
          <w:tcPr>
            <w:tcW w:w="4253" w:type="dxa"/>
            <w:gridSpan w:val="2"/>
            <w:tcBorders>
              <w:top w:val="single" w:color="000000" w:sz="4" w:space="0"/>
              <w:left w:val="nil"/>
              <w:bottom w:val="single" w:color="000000" w:sz="4" w:space="0"/>
              <w:right w:val="single" w:color="000000" w:sz="4" w:space="0"/>
            </w:tcBorders>
            <w:shd w:val="clear" w:color="auto" w:fill="FFFFFF"/>
            <w:vAlign w:val="center"/>
          </w:tcPr>
          <w:p>
            <w:pPr>
              <w:snapToGrid w:val="0"/>
              <w:spacing w:line="420" w:lineRule="exact"/>
              <w:jc w:val="center"/>
              <w:rPr>
                <w:rStyle w:val="17"/>
                <w:b/>
                <w:bCs/>
                <w:color w:val="000000"/>
                <w:kern w:val="0"/>
                <w:sz w:val="24"/>
                <w:szCs w:val="24"/>
              </w:rPr>
            </w:pPr>
            <w:r>
              <w:rPr>
                <w:rStyle w:val="17"/>
                <w:b/>
                <w:bCs/>
                <w:color w:val="000000"/>
                <w:kern w:val="0"/>
                <w:sz w:val="24"/>
                <w:szCs w:val="24"/>
              </w:rPr>
              <w:t>产品类别</w:t>
            </w:r>
          </w:p>
        </w:tc>
        <w:tc>
          <w:tcPr>
            <w:tcW w:w="2268" w:type="dxa"/>
            <w:tcBorders>
              <w:top w:val="single" w:color="000000" w:sz="4" w:space="0"/>
              <w:left w:val="nil"/>
              <w:bottom w:val="single" w:color="000000" w:sz="4" w:space="0"/>
              <w:right w:val="single" w:color="000000" w:sz="4" w:space="0"/>
            </w:tcBorders>
            <w:shd w:val="clear" w:color="auto" w:fill="FFFFFF"/>
            <w:vAlign w:val="center"/>
          </w:tcPr>
          <w:p>
            <w:pPr>
              <w:snapToGrid w:val="0"/>
              <w:spacing w:line="420" w:lineRule="exact"/>
              <w:jc w:val="center"/>
              <w:rPr>
                <w:rStyle w:val="17"/>
                <w:b/>
                <w:bCs/>
                <w:kern w:val="0"/>
                <w:sz w:val="24"/>
                <w:szCs w:val="24"/>
              </w:rPr>
            </w:pPr>
            <w:r>
              <w:rPr>
                <w:rStyle w:val="17"/>
                <w:b/>
                <w:bCs/>
                <w:kern w:val="0"/>
                <w:sz w:val="24"/>
                <w:szCs w:val="24"/>
              </w:rPr>
              <w:t>授权安装机器数量</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20" w:lineRule="exact"/>
              <w:jc w:val="center"/>
              <w:rPr>
                <w:rStyle w:val="17"/>
                <w:b/>
                <w:bCs/>
                <w:color w:val="000000"/>
                <w:kern w:val="0"/>
                <w:sz w:val="24"/>
                <w:szCs w:val="24"/>
              </w:rPr>
            </w:pPr>
            <w:r>
              <w:rPr>
                <w:rStyle w:val="17"/>
                <w:b/>
                <w:bCs/>
                <w:color w:val="000000"/>
                <w:kern w:val="0"/>
                <w:sz w:val="24"/>
                <w:szCs w:val="24"/>
              </w:rPr>
              <w:t>单位</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snapToGrid w:val="0"/>
              <w:spacing w:line="420" w:lineRule="exact"/>
              <w:jc w:val="center"/>
              <w:rPr>
                <w:rStyle w:val="17"/>
                <w:b/>
                <w:bCs/>
                <w:color w:val="000000"/>
                <w:kern w:val="0"/>
                <w:sz w:val="24"/>
                <w:szCs w:val="24"/>
              </w:rPr>
            </w:pPr>
            <w:r>
              <w:rPr>
                <w:rStyle w:val="17"/>
                <w:b/>
                <w:bCs/>
                <w:color w:val="000000"/>
                <w:kern w:val="0"/>
                <w:sz w:val="24"/>
                <w:szCs w:val="24"/>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04"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1</w:t>
            </w:r>
          </w:p>
        </w:tc>
        <w:tc>
          <w:tcPr>
            <w:tcW w:w="4253" w:type="dxa"/>
            <w:gridSpan w:val="2"/>
            <w:tcBorders>
              <w:top w:val="nil"/>
              <w:left w:val="nil"/>
              <w:bottom w:val="single" w:color="000000" w:sz="4" w:space="0"/>
              <w:right w:val="single" w:color="000000" w:sz="4" w:space="0"/>
            </w:tcBorders>
            <w:vAlign w:val="center"/>
          </w:tcPr>
          <w:p>
            <w:pPr>
              <w:snapToGrid w:val="0"/>
              <w:spacing w:line="420" w:lineRule="exact"/>
              <w:ind w:left="19" w:leftChars="-40" w:hanging="103"/>
              <w:jc w:val="center"/>
              <w:rPr>
                <w:rStyle w:val="17"/>
                <w:kern w:val="0"/>
                <w:sz w:val="24"/>
                <w:szCs w:val="24"/>
              </w:rPr>
            </w:pPr>
            <w:r>
              <w:rPr>
                <w:rStyle w:val="17"/>
                <w:kern w:val="0"/>
                <w:sz w:val="24"/>
                <w:szCs w:val="24"/>
              </w:rPr>
              <w:t>金山办公WPS office 2019</w:t>
            </w:r>
          </w:p>
        </w:tc>
        <w:tc>
          <w:tcPr>
            <w:tcW w:w="2268" w:type="dxa"/>
            <w:tcBorders>
              <w:top w:val="single" w:color="000000" w:sz="4" w:space="0"/>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100</w:t>
            </w:r>
          </w:p>
        </w:tc>
        <w:tc>
          <w:tcPr>
            <w:tcW w:w="1275"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套</w:t>
            </w:r>
          </w:p>
        </w:tc>
        <w:tc>
          <w:tcPr>
            <w:tcW w:w="1134" w:type="dxa"/>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04"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2</w:t>
            </w:r>
          </w:p>
        </w:tc>
        <w:tc>
          <w:tcPr>
            <w:tcW w:w="4253" w:type="dxa"/>
            <w:gridSpan w:val="2"/>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360检察机关专用安全浏览器</w:t>
            </w:r>
          </w:p>
        </w:tc>
        <w:tc>
          <w:tcPr>
            <w:tcW w:w="2268" w:type="dxa"/>
            <w:tcBorders>
              <w:top w:val="single" w:color="000000" w:sz="4" w:space="0"/>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100</w:t>
            </w:r>
          </w:p>
        </w:tc>
        <w:tc>
          <w:tcPr>
            <w:tcW w:w="1275"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套</w:t>
            </w:r>
          </w:p>
        </w:tc>
        <w:tc>
          <w:tcPr>
            <w:tcW w:w="1134" w:type="dxa"/>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04"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3</w:t>
            </w:r>
          </w:p>
        </w:tc>
        <w:tc>
          <w:tcPr>
            <w:tcW w:w="4253" w:type="dxa"/>
            <w:gridSpan w:val="2"/>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数科检察院专用版OFD文档处理软件</w:t>
            </w:r>
          </w:p>
        </w:tc>
        <w:tc>
          <w:tcPr>
            <w:tcW w:w="2268" w:type="dxa"/>
            <w:tcBorders>
              <w:top w:val="single" w:color="000000" w:sz="4" w:space="0"/>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100</w:t>
            </w:r>
          </w:p>
        </w:tc>
        <w:tc>
          <w:tcPr>
            <w:tcW w:w="1275"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套</w:t>
            </w:r>
          </w:p>
        </w:tc>
        <w:tc>
          <w:tcPr>
            <w:tcW w:w="1134" w:type="dxa"/>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04"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4</w:t>
            </w:r>
          </w:p>
        </w:tc>
        <w:tc>
          <w:tcPr>
            <w:tcW w:w="4253" w:type="dxa"/>
            <w:gridSpan w:val="2"/>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防火墙</w:t>
            </w:r>
          </w:p>
        </w:tc>
        <w:tc>
          <w:tcPr>
            <w:tcW w:w="2268" w:type="dxa"/>
            <w:tcBorders>
              <w:top w:val="single" w:color="000000" w:sz="4" w:space="0"/>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1</w:t>
            </w:r>
          </w:p>
        </w:tc>
        <w:tc>
          <w:tcPr>
            <w:tcW w:w="1275"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台</w:t>
            </w:r>
          </w:p>
        </w:tc>
        <w:tc>
          <w:tcPr>
            <w:tcW w:w="1134" w:type="dxa"/>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04"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5</w:t>
            </w:r>
          </w:p>
        </w:tc>
        <w:tc>
          <w:tcPr>
            <w:tcW w:w="4253" w:type="dxa"/>
            <w:gridSpan w:val="2"/>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流量入侵检测探针</w:t>
            </w:r>
          </w:p>
        </w:tc>
        <w:tc>
          <w:tcPr>
            <w:tcW w:w="2268" w:type="dxa"/>
            <w:tcBorders>
              <w:top w:val="single" w:color="000000" w:sz="4" w:space="0"/>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1</w:t>
            </w:r>
          </w:p>
        </w:tc>
        <w:tc>
          <w:tcPr>
            <w:tcW w:w="1275"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台</w:t>
            </w:r>
          </w:p>
        </w:tc>
        <w:tc>
          <w:tcPr>
            <w:tcW w:w="1134" w:type="dxa"/>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blHead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20" w:lineRule="exact"/>
              <w:jc w:val="center"/>
              <w:rPr>
                <w:rStyle w:val="17"/>
                <w:b/>
                <w:bCs/>
                <w:color w:val="000000"/>
                <w:kern w:val="0"/>
                <w:sz w:val="24"/>
                <w:szCs w:val="24"/>
              </w:rPr>
            </w:pPr>
            <w:r>
              <w:rPr>
                <w:rStyle w:val="17"/>
                <w:b/>
                <w:bCs/>
                <w:color w:val="000000"/>
                <w:kern w:val="0"/>
                <w:sz w:val="24"/>
                <w:szCs w:val="24"/>
              </w:rPr>
              <w:t>序号</w:t>
            </w:r>
          </w:p>
        </w:tc>
        <w:tc>
          <w:tcPr>
            <w:tcW w:w="2268" w:type="dxa"/>
            <w:tcBorders>
              <w:top w:val="single" w:color="000000" w:sz="4" w:space="0"/>
              <w:left w:val="nil"/>
              <w:bottom w:val="single" w:color="000000" w:sz="4" w:space="0"/>
              <w:right w:val="single" w:color="000000" w:sz="4" w:space="0"/>
            </w:tcBorders>
            <w:shd w:val="clear" w:color="auto" w:fill="FFFFFF"/>
            <w:vAlign w:val="center"/>
          </w:tcPr>
          <w:p>
            <w:pPr>
              <w:snapToGrid w:val="0"/>
              <w:spacing w:line="420" w:lineRule="exact"/>
              <w:jc w:val="center"/>
              <w:rPr>
                <w:rStyle w:val="17"/>
                <w:b/>
                <w:bCs/>
                <w:color w:val="000000"/>
                <w:kern w:val="0"/>
                <w:sz w:val="24"/>
                <w:szCs w:val="24"/>
              </w:rPr>
            </w:pPr>
            <w:r>
              <w:rPr>
                <w:rStyle w:val="17"/>
                <w:b/>
                <w:bCs/>
                <w:color w:val="000000"/>
                <w:kern w:val="0"/>
                <w:sz w:val="24"/>
                <w:szCs w:val="24"/>
              </w:rPr>
              <w:t>产品类别</w:t>
            </w:r>
          </w:p>
        </w:tc>
        <w:tc>
          <w:tcPr>
            <w:tcW w:w="6662" w:type="dxa"/>
            <w:gridSpan w:val="4"/>
            <w:tcBorders>
              <w:top w:val="single" w:color="000000" w:sz="4" w:space="0"/>
              <w:left w:val="nil"/>
              <w:bottom w:val="single" w:color="000000" w:sz="4" w:space="0"/>
              <w:right w:val="single" w:color="000000" w:sz="4" w:space="0"/>
            </w:tcBorders>
            <w:shd w:val="clear" w:color="auto" w:fill="FFFFFF"/>
            <w:vAlign w:val="center"/>
          </w:tcPr>
          <w:p>
            <w:pPr>
              <w:snapToGrid w:val="0"/>
              <w:spacing w:line="420" w:lineRule="exact"/>
              <w:jc w:val="center"/>
              <w:rPr>
                <w:rStyle w:val="17"/>
                <w:b/>
                <w:bCs/>
                <w:color w:val="000000"/>
                <w:kern w:val="0"/>
                <w:sz w:val="24"/>
                <w:szCs w:val="24"/>
              </w:rPr>
            </w:pPr>
            <w:r>
              <w:rPr>
                <w:rStyle w:val="17"/>
                <w:b/>
                <w:bCs/>
                <w:color w:val="000000"/>
                <w:kern w:val="0"/>
                <w:sz w:val="24"/>
                <w:szCs w:val="24"/>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04"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1</w:t>
            </w:r>
          </w:p>
        </w:tc>
        <w:tc>
          <w:tcPr>
            <w:tcW w:w="2268" w:type="dxa"/>
            <w:tcBorders>
              <w:top w:val="nil"/>
              <w:left w:val="nil"/>
              <w:bottom w:val="single" w:color="000000" w:sz="4" w:space="0"/>
              <w:right w:val="single" w:color="000000" w:sz="4" w:space="0"/>
            </w:tcBorders>
            <w:vAlign w:val="center"/>
          </w:tcPr>
          <w:p>
            <w:pPr>
              <w:snapToGrid w:val="0"/>
              <w:spacing w:line="420" w:lineRule="exact"/>
              <w:ind w:left="19" w:leftChars="-40" w:hanging="103"/>
              <w:jc w:val="center"/>
              <w:rPr>
                <w:rStyle w:val="17"/>
                <w:kern w:val="0"/>
                <w:sz w:val="24"/>
                <w:szCs w:val="24"/>
              </w:rPr>
            </w:pPr>
            <w:r>
              <w:rPr>
                <w:rStyle w:val="17"/>
                <w:kern w:val="0"/>
                <w:sz w:val="24"/>
                <w:szCs w:val="24"/>
              </w:rPr>
              <w:t>金山办公WPS office 2019</w:t>
            </w:r>
          </w:p>
        </w:tc>
        <w:tc>
          <w:tcPr>
            <w:tcW w:w="6662" w:type="dxa"/>
            <w:gridSpan w:val="4"/>
            <w:tcBorders>
              <w:top w:val="nil"/>
              <w:left w:val="nil"/>
              <w:bottom w:val="single" w:color="000000" w:sz="4" w:space="0"/>
              <w:right w:val="single" w:color="000000" w:sz="4" w:space="0"/>
            </w:tcBorders>
            <w:vAlign w:val="center"/>
          </w:tcPr>
          <w:p>
            <w:pPr>
              <w:snapToGrid w:val="0"/>
              <w:spacing w:line="420" w:lineRule="exact"/>
              <w:jc w:val="left"/>
              <w:rPr>
                <w:rStyle w:val="17"/>
                <w:kern w:val="0"/>
                <w:sz w:val="24"/>
                <w:szCs w:val="24"/>
              </w:rPr>
            </w:pPr>
            <w:r>
              <w:rPr>
                <w:rStyle w:val="17"/>
                <w:kern w:val="0"/>
                <w:sz w:val="24"/>
                <w:szCs w:val="24"/>
              </w:rPr>
              <w:t xml:space="preserve">正版，一年使用授权；WPS office 2019 for linux 适用于ARM架构，用于处理文字、表格及幻灯片的流式办公软件。产品包含WPS文字、WPS表格、WPS演示三个应用。主要功能包括；WPS文字功能、WPS表格功能、WPS演示功能。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04"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2</w:t>
            </w:r>
          </w:p>
        </w:tc>
        <w:tc>
          <w:tcPr>
            <w:tcW w:w="2268" w:type="dxa"/>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360检察机关专用安全浏览器</w:t>
            </w:r>
          </w:p>
        </w:tc>
        <w:tc>
          <w:tcPr>
            <w:tcW w:w="6662" w:type="dxa"/>
            <w:gridSpan w:val="4"/>
            <w:tcBorders>
              <w:top w:val="nil"/>
              <w:left w:val="nil"/>
              <w:bottom w:val="single" w:color="000000" w:sz="4" w:space="0"/>
              <w:right w:val="single" w:color="000000" w:sz="4" w:space="0"/>
            </w:tcBorders>
            <w:vAlign w:val="center"/>
          </w:tcPr>
          <w:p>
            <w:pPr>
              <w:snapToGrid w:val="0"/>
              <w:spacing w:line="420" w:lineRule="exact"/>
              <w:jc w:val="left"/>
              <w:rPr>
                <w:rStyle w:val="17"/>
                <w:kern w:val="0"/>
                <w:sz w:val="24"/>
                <w:szCs w:val="24"/>
              </w:rPr>
            </w:pPr>
            <w:r>
              <w:rPr>
                <w:rStyle w:val="17"/>
                <w:kern w:val="0"/>
                <w:sz w:val="24"/>
                <w:szCs w:val="24"/>
              </w:rPr>
              <w:t>正版，一年使用授权；检察机关专用安全浏览器以360安全浏览器为基座，基于统一业务应用系统2.0进行专属定制，遵循web系统建设标准，支持国产密码算法，与各类业务功能、流版签插件、网关、CA、Key等软硬件产品深度联合开发适配，为全国的检察机关办公人员提供统一、高效、安全、智能的办公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04" w:type="dxa"/>
            <w:tcBorders>
              <w:top w:val="nil"/>
              <w:left w:val="single" w:color="000000" w:sz="4" w:space="0"/>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3</w:t>
            </w:r>
          </w:p>
        </w:tc>
        <w:tc>
          <w:tcPr>
            <w:tcW w:w="2268" w:type="dxa"/>
            <w:tcBorders>
              <w:top w:val="nil"/>
              <w:left w:val="nil"/>
              <w:bottom w:val="single" w:color="000000" w:sz="4" w:space="0"/>
              <w:right w:val="single" w:color="000000" w:sz="4" w:space="0"/>
            </w:tcBorders>
            <w:vAlign w:val="center"/>
          </w:tcPr>
          <w:p>
            <w:pPr>
              <w:snapToGrid w:val="0"/>
              <w:spacing w:line="420" w:lineRule="exact"/>
              <w:jc w:val="center"/>
              <w:rPr>
                <w:rStyle w:val="17"/>
                <w:kern w:val="0"/>
                <w:sz w:val="24"/>
                <w:szCs w:val="24"/>
              </w:rPr>
            </w:pPr>
            <w:r>
              <w:rPr>
                <w:rStyle w:val="17"/>
                <w:kern w:val="0"/>
                <w:sz w:val="24"/>
                <w:szCs w:val="24"/>
              </w:rPr>
              <w:t>数科检察院专用版OFD文档处理软件</w:t>
            </w:r>
          </w:p>
        </w:tc>
        <w:tc>
          <w:tcPr>
            <w:tcW w:w="6662" w:type="dxa"/>
            <w:gridSpan w:val="4"/>
            <w:tcBorders>
              <w:top w:val="nil"/>
              <w:left w:val="nil"/>
              <w:bottom w:val="single" w:color="000000" w:sz="4" w:space="0"/>
              <w:right w:val="single" w:color="000000" w:sz="4" w:space="0"/>
            </w:tcBorders>
            <w:vAlign w:val="center"/>
          </w:tcPr>
          <w:p>
            <w:pPr>
              <w:snapToGrid w:val="0"/>
              <w:spacing w:line="420" w:lineRule="exact"/>
              <w:jc w:val="left"/>
              <w:rPr>
                <w:rStyle w:val="17"/>
                <w:kern w:val="0"/>
                <w:sz w:val="24"/>
                <w:szCs w:val="24"/>
              </w:rPr>
            </w:pPr>
            <w:r>
              <w:rPr>
                <w:rStyle w:val="17"/>
                <w:kern w:val="0"/>
                <w:sz w:val="24"/>
                <w:szCs w:val="24"/>
              </w:rPr>
              <w:t>正版，一年使用授权；用于处理OFD格式文件的版式办公软件。主要功能包括：阅读、编辑、保存、打印、发布。</w:t>
            </w:r>
          </w:p>
        </w:tc>
      </w:tr>
    </w:tbl>
    <w:p>
      <w:pPr>
        <w:spacing w:line="500" w:lineRule="atLeast"/>
        <w:rPr>
          <w:rStyle w:val="17"/>
          <w:kern w:val="0"/>
          <w:sz w:val="24"/>
          <w:szCs w:val="24"/>
        </w:rPr>
      </w:pPr>
    </w:p>
    <w:p>
      <w:pPr>
        <w:spacing w:line="500" w:lineRule="atLeast"/>
        <w:rPr>
          <w:rStyle w:val="17"/>
          <w:kern w:val="0"/>
          <w:sz w:val="24"/>
          <w:szCs w:val="24"/>
        </w:rPr>
      </w:pPr>
      <w:r>
        <w:rPr>
          <w:rStyle w:val="17"/>
          <w:kern w:val="0"/>
          <w:sz w:val="24"/>
          <w:szCs w:val="24"/>
        </w:rPr>
        <w:t>4、</w:t>
      </w:r>
      <w:r>
        <w:rPr>
          <w:rStyle w:val="17"/>
          <w:b/>
          <w:kern w:val="0"/>
          <w:sz w:val="24"/>
          <w:szCs w:val="24"/>
        </w:rPr>
        <w:t>防火墙</w:t>
      </w:r>
      <w:r>
        <w:rPr>
          <w:rStyle w:val="17"/>
          <w:kern w:val="0"/>
          <w:sz w:val="24"/>
          <w:szCs w:val="24"/>
        </w:rPr>
        <w:t xml:space="preserve">  推荐品牌：启明星辰  奇安信  天融信</w:t>
      </w:r>
    </w:p>
    <w:tbl>
      <w:tblPr>
        <w:tblStyle w:val="8"/>
        <w:tblpPr w:leftFromText="180" w:rightFromText="180" w:vertAnchor="text" w:tblpY="1"/>
        <w:tblOverlap w:val="never"/>
        <w:tblW w:w="9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
        <w:gridCol w:w="822"/>
        <w:gridCol w:w="480"/>
        <w:gridCol w:w="796"/>
        <w:gridCol w:w="7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552"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指标项</w:t>
            </w:r>
          </w:p>
        </w:tc>
        <w:tc>
          <w:tcPr>
            <w:tcW w:w="7088" w:type="dxa"/>
            <w:tcBorders>
              <w:top w:val="single" w:color="000000" w:sz="4" w:space="0"/>
              <w:left w:val="single" w:color="000000" w:sz="4" w:space="0"/>
              <w:bottom w:val="single" w:color="000000" w:sz="4" w:space="0"/>
              <w:right w:val="single" w:color="000000" w:sz="4" w:space="0"/>
            </w:tcBorders>
            <w:vAlign w:val="center"/>
          </w:tcPr>
          <w:p>
            <w:pPr>
              <w:ind w:firstLine="2880" w:firstLineChars="1200"/>
              <w:rPr>
                <w:rStyle w:val="17"/>
                <w:kern w:val="0"/>
                <w:sz w:val="24"/>
                <w:szCs w:val="24"/>
              </w:rPr>
            </w:pPr>
            <w:r>
              <w:rPr>
                <w:rStyle w:val="17"/>
                <w:kern w:val="0"/>
                <w:sz w:val="24"/>
                <w:szCs w:val="24"/>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硬件和性能</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硬件和性能</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国产化CPU防火墙，网络层吞吐量8G，并发连接≥400万，每秒新建连接数14万，标准2U机箱，冗余电源，1个MGT管理接口，1个HA接口，4个10/100/1000M自适应电口和4个SFP插槽，支持2个接口板卡扩展插槽，1个Console口，2个USB接口，含三年硬件维保服务。三年全模块功能升级（含应用识别库、URL分类特征库、病毒防护特征库、入侵防御特征库升级服务及威胁情报订阅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基础组网</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部署模式</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产品支持路由、透明、交换以及混合模式接入，满足复杂应用环境的接入需求，支持旁路模式；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网络协议</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所投产品必须支持VTEP（VxLan Tunnel EndPoint）模式接入VxLAN网络，并可作为VXLAN二层、三层网关实现VxLan网络与传统以太网的相同子网内、跨子网间互联互通；支持通过绑定VLAN、VNI（VXLAN Network Identifier）、远程VTEP，手动管理VxLan网络；支持MAC、VNI、VTEP静态绑定；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 xml:space="preserve">所投产品必须支持MPLS流量透传；支持针对MPLS流量的安全审查，包括漏洞防护、反病毒、间谍软件防护、内容过滤、URL过滤、基于终端状态访问控制等安全防护功能。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路由协议</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所投产品必须支持支持静态路由、策略路由及动态路由。策略路由支持用户自定义其优先级，动态路由应至少支持RIP v1/v2/ng， OSPFv2/v3，BGP4/4+协议；必须支持静态和动态多播路由，动态多播路由必须支持PIM-SM（稀疏模式）。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地址转换</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所投产品必须支持全面的NAT转换配置，包括一对一，一对多，多对一的源、目的地址转换，并至少支持FULL_CONE模式和SYMMETRIC模式。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IPv6支持</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所投产品必须设备接口支持配置IPv6地址，并可使用IPv6地址管理设备；支持IPv6手动及自动的IP/MAC探测及绑定。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5"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高可靠性</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路由模式、透明模式的HA高可靠性部署，可工作于主备、主主模式，会话、用户、配置可实时同步；HA高可靠性部署支持接口联动，某个端口失效（DOWN），属于同一接口组中其他端口都会进入失效状态（DOWN）；HA高可靠性部署支持配置接口权重；支持链路探测。（投标文件需要提供能够体现上述功能及配置选项的截图加盖原厂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虚拟化防火墙功能</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所投产品必须支持对虚系统进行系统配置，包括管理设定、管理主机、证书管理、配置文件导入导出、日志配置；虚系统管理员可分权管理；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 xml:space="preserve">所投产品必须支持在虚系统内独立配置病毒防护、漏洞利用防护、间谍软件防护、URL过滤、文件过滤、内容过滤、邮件过滤、行为管控等安全功能。并可支持对本虚系统内产生的日志进行独立审计。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访问控制</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访问控制</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所投产品必须支持基于源安全域、目的安全域、源用户、源地址、源地区、目的地址、目的地区、服务、应用、隧道、时间、VLAN等多种方式进行访问控制，并支持地理区域对象的导入以及重复策略的检查。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应用识别与控制</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应用识别，应用特征库包含的应用数量（非应用协议的规则总数）大于2800种，可深度识别每种应用的属性，为每种应用提供预定义的风险系数，并将应用基于类型、使用场景、数据传输、风险等级等特征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流量管理</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所投产品必须支持多调度类相互嵌套最大5级的带宽管理设置。支持设置每IP最大或最小带宽，支持对每IP进行带宽配额管理，可通过优先级实现多应用的差分服务，并支持对剩余带宽进行基于优先级的动态分配。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攻击防护</w:t>
            </w:r>
          </w:p>
        </w:tc>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网络攻击防护</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所投产品必须支持基于不同安全区域防御DNS Flood、HTTP Flood攻击，并支持警告、阻断、首包丢弃、TC反弹技术、NS重定向、自动重定向、手工确认等多种防护措施。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所投产品必须支持基于安全区域的异常包攻击防御，异常包攻击类型至少包括Ping of Death、Teardrop、IP选项、TCP异常、Smurf、Fraggle、Land、Winnuke、DNS异常、IP分片等；并可在设备页面显示每种攻击类型的丢包统计结果。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所投产品必须支持防御基于安全域的IP地址欺骗攻击，指定IP或网段必须从特定安全域流入。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病毒防护</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所投产品必须能够对HTTP/FTP/POP3/SMTP/IMAP/SMB六种协议进行病毒查杀；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所投产品必须支持对最多6级的压缩文件进行解压查杀；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vMerge w:val="restart"/>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所投产品必须支持基于MD5的自定义病毒签名；支持设置例外特征，对特定的病毒特征不进行查杀。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1"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入侵防御</w:t>
            </w:r>
          </w:p>
        </w:tc>
        <w:tc>
          <w:tcPr>
            <w:tcW w:w="7088" w:type="dxa"/>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所投产品必须支持漏洞防护功能，同时将漏洞防护特征库分类，至少包括缓冲区溢出、跨站脚本、拒绝服务、恶意扫描、SQL注入、WEB攻击等六种分类；漏洞防护支持日志、阻断、放行、重置等执行动作,可批量设置针对某一分类或全部攻击签名的执行动作；支持基于FTP、HTTP、IMAP、OTHER_APP、POP3、SMB、SMTP等应用协议的漏洞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★所投产品必须支持在设备漏洞防护特征库直接查阅攻击的名称、CVEID、CNNVDID、严重性、影响的平台、类型、描述等详细信息。（投标文件需要提供能够在设备上显示以上内容详细信息的截图，加盖原厂公章。）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协同防御</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云端协同</w:t>
            </w:r>
          </w:p>
        </w:tc>
        <w:tc>
          <w:tcPr>
            <w:tcW w:w="7088" w:type="dxa"/>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★所投产品必须支持与互联网云端联动，至少实现病毒云查杀、URL云识别、应用云识别、云沙箱、威胁情报云检测等功能。（投标文件需提供能够体现上述功能及配置选项截图，加盖原厂公章。）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t>终端安全软件联动</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必须支持与本方案中配置的桌面杀毒或终端管理软件联动，实现基于终端健康状态的访问控制；并支持阻断“高风险”终端网络活动的同时，提示被阻断原因及重定向自定义网址。（投标文件需要提供能够体现上述功能及配置选项的截图加盖原厂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产品资质</w:t>
            </w:r>
          </w:p>
        </w:tc>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产品资质</w:t>
            </w: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所投产品具备《计算机软件著作权登记证书》。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tcBorders>
              <w:top w:val="single" w:color="000000" w:sz="4" w:space="0"/>
              <w:left w:val="single" w:color="000000" w:sz="4" w:space="0"/>
              <w:bottom w:val="single" w:color="000000" w:sz="4" w:space="0"/>
              <w:right w:val="single" w:color="000000" w:sz="4" w:space="0"/>
            </w:tcBorders>
          </w:tcPr>
          <w:p>
            <w:pPr>
              <w:jc w:val="left"/>
              <w:rPr>
                <w:rStyle w:val="17"/>
                <w:kern w:val="0"/>
                <w:sz w:val="24"/>
                <w:szCs w:val="24"/>
              </w:rPr>
            </w:pPr>
            <w:r>
              <w:rPr>
                <w:rStyle w:val="17"/>
                <w:kern w:val="0"/>
                <w:sz w:val="24"/>
                <w:szCs w:val="24"/>
              </w:rPr>
              <w:t>所投产品具备国家信息安全测评中心颁发的《信息技术产品安全测评证书》（万兆 EAL3+）。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tcBorders>
              <w:top w:val="single" w:color="000000" w:sz="4" w:space="0"/>
              <w:left w:val="single" w:color="000000" w:sz="4" w:space="0"/>
              <w:bottom w:val="single" w:color="000000" w:sz="4" w:space="0"/>
              <w:right w:val="single" w:color="000000" w:sz="4" w:space="0"/>
            </w:tcBorders>
          </w:tcPr>
          <w:p>
            <w:pPr>
              <w:jc w:val="left"/>
              <w:rPr>
                <w:rStyle w:val="17"/>
                <w:kern w:val="0"/>
                <w:sz w:val="24"/>
                <w:szCs w:val="24"/>
              </w:rPr>
            </w:pPr>
            <w:r>
              <w:rPr>
                <w:rStyle w:val="17"/>
                <w:kern w:val="0"/>
                <w:sz w:val="24"/>
                <w:szCs w:val="24"/>
              </w:rPr>
              <w:t>所投产品具备公安部网络安全保卫局颁发的《计算机信息系统安全专用产品销售许可证》（万兆三级）。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7"/>
                <w:kern w:val="0"/>
                <w:sz w:val="24"/>
                <w:szCs w:val="24"/>
              </w:rPr>
            </w:pPr>
          </w:p>
        </w:tc>
        <w:tc>
          <w:tcPr>
            <w:tcW w:w="7088" w:type="dxa"/>
            <w:tcBorders>
              <w:top w:val="single" w:color="000000" w:sz="4" w:space="0"/>
              <w:left w:val="single" w:color="000000" w:sz="4" w:space="0"/>
              <w:bottom w:val="single" w:color="000000" w:sz="4" w:space="0"/>
              <w:right w:val="single" w:color="000000" w:sz="4" w:space="0"/>
            </w:tcBorders>
            <w:vAlign w:val="center"/>
          </w:tcPr>
          <w:p>
            <w:pPr>
              <w:rPr>
                <w:rStyle w:val="17"/>
                <w:kern w:val="0"/>
                <w:sz w:val="24"/>
                <w:szCs w:val="24"/>
              </w:rPr>
            </w:pPr>
            <w:r>
              <w:rPr>
                <w:rStyle w:val="17"/>
                <w:kern w:val="0"/>
                <w:sz w:val="24"/>
                <w:szCs w:val="24"/>
              </w:rPr>
              <w:t>具备中国信息安全测评中心颁发的《国家信息安全漏洞库兼容性资质证书》（万兆）。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54" w:type="dxa"/>
            <w:tcBorders>
              <w:top w:val="nil"/>
              <w:left w:val="single" w:color="000000" w:sz="4" w:space="0"/>
              <w:bottom w:val="single" w:color="000000" w:sz="4" w:space="0"/>
              <w:right w:val="single" w:color="000000" w:sz="4" w:space="0"/>
            </w:tcBorders>
            <w:vAlign w:val="center"/>
          </w:tcPr>
          <w:p>
            <w:pPr>
              <w:jc w:val="left"/>
              <w:rPr>
                <w:rStyle w:val="17"/>
                <w:kern w:val="0"/>
                <w:sz w:val="24"/>
                <w:szCs w:val="24"/>
              </w:rPr>
            </w:pPr>
            <w:r>
              <w:rPr>
                <w:rStyle w:val="17"/>
                <w:kern w:val="0"/>
                <w:sz w:val="24"/>
                <w:szCs w:val="24"/>
              </w:rPr>
              <w:br w:type="textWrapping"/>
            </w:r>
          </w:p>
          <w:p>
            <w:pPr>
              <w:jc w:val="left"/>
              <w:rPr>
                <w:rStyle w:val="17"/>
                <w:kern w:val="0"/>
                <w:sz w:val="24"/>
                <w:szCs w:val="24"/>
              </w:rPr>
            </w:pPr>
          </w:p>
        </w:tc>
        <w:tc>
          <w:tcPr>
            <w:tcW w:w="1302" w:type="dxa"/>
            <w:gridSpan w:val="2"/>
            <w:tcBorders>
              <w:top w:val="nil"/>
              <w:left w:val="nil"/>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流控策略</w:t>
            </w:r>
          </w:p>
        </w:tc>
        <w:tc>
          <w:tcPr>
            <w:tcW w:w="7884" w:type="dxa"/>
            <w:gridSpan w:val="2"/>
            <w:tcBorders>
              <w:top w:val="nil"/>
              <w:left w:val="nil"/>
              <w:bottom w:val="single" w:color="000000" w:sz="4" w:space="0"/>
              <w:right w:val="single" w:color="000000" w:sz="4" w:space="0"/>
            </w:tcBorders>
            <w:vAlign w:val="center"/>
          </w:tcPr>
          <w:p>
            <w:pPr>
              <w:jc w:val="left"/>
              <w:rPr>
                <w:rStyle w:val="17"/>
                <w:kern w:val="0"/>
                <w:sz w:val="24"/>
                <w:szCs w:val="24"/>
              </w:rPr>
            </w:pPr>
            <w:r>
              <w:rPr>
                <w:rStyle w:val="17"/>
                <w:kern w:val="0"/>
                <w:sz w:val="24"/>
                <w:szCs w:val="24"/>
              </w:rPr>
              <w:t>支持基于用户、时间、应用、源IP、目的IP和服务创建流量控制策略。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54" w:type="dxa"/>
            <w:tcBorders>
              <w:top w:val="single" w:color="000000" w:sz="4" w:space="0"/>
              <w:left w:val="single" w:color="000000" w:sz="4" w:space="0"/>
              <w:right w:val="single" w:color="000000" w:sz="4" w:space="0"/>
            </w:tcBorders>
            <w:vAlign w:val="center"/>
          </w:tcPr>
          <w:p>
            <w:pPr>
              <w:jc w:val="center"/>
              <w:rPr>
                <w:rStyle w:val="17"/>
                <w:kern w:val="0"/>
                <w:sz w:val="24"/>
                <w:szCs w:val="24"/>
              </w:rPr>
            </w:pPr>
            <w:r>
              <w:rPr>
                <w:rStyle w:val="17"/>
                <w:kern w:val="0"/>
                <w:sz w:val="24"/>
                <w:szCs w:val="24"/>
              </w:rPr>
              <w:t>产品联动</w:t>
            </w:r>
          </w:p>
        </w:tc>
        <w:tc>
          <w:tcPr>
            <w:tcW w:w="1302" w:type="dxa"/>
            <w:gridSpan w:val="2"/>
            <w:tcBorders>
              <w:top w:val="nil"/>
              <w:left w:val="nil"/>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终端管理软件联动</w:t>
            </w:r>
          </w:p>
        </w:tc>
        <w:tc>
          <w:tcPr>
            <w:tcW w:w="7884" w:type="dxa"/>
            <w:gridSpan w:val="2"/>
            <w:tcBorders>
              <w:top w:val="nil"/>
              <w:left w:val="nil"/>
              <w:bottom w:val="single" w:color="000000" w:sz="4" w:space="0"/>
              <w:right w:val="single" w:color="000000" w:sz="4" w:space="0"/>
            </w:tcBorders>
            <w:vAlign w:val="center"/>
          </w:tcPr>
          <w:p>
            <w:pPr>
              <w:jc w:val="left"/>
              <w:rPr>
                <w:rStyle w:val="17"/>
                <w:kern w:val="0"/>
                <w:sz w:val="24"/>
                <w:szCs w:val="24"/>
              </w:rPr>
            </w:pPr>
            <w:r>
              <w:rPr>
                <w:rStyle w:val="17"/>
                <w:kern w:val="0"/>
                <w:sz w:val="24"/>
                <w:szCs w:val="24"/>
              </w:rPr>
              <w:t>★能够与本方案中终端安全管理软件联动，设备检测到未安装终端管理软件的PC，可将其Web访问自动重定向到特定页面并提示下载。（投标时提供产品功能截图，并加盖厂商公章；)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right w:val="single" w:color="000000" w:sz="4" w:space="0"/>
            </w:tcBorders>
            <w:vAlign w:val="center"/>
          </w:tcPr>
          <w:p>
            <w:pPr>
              <w:jc w:val="center"/>
              <w:rPr>
                <w:rStyle w:val="17"/>
                <w:kern w:val="0"/>
                <w:sz w:val="24"/>
                <w:szCs w:val="24"/>
              </w:rPr>
            </w:pPr>
            <w:r>
              <w:rPr>
                <w:rStyle w:val="17"/>
                <w:kern w:val="0"/>
                <w:sz w:val="24"/>
                <w:szCs w:val="24"/>
              </w:rPr>
              <w:t>用户管理</w:t>
            </w:r>
          </w:p>
        </w:tc>
        <w:tc>
          <w:tcPr>
            <w:tcW w:w="1302" w:type="dxa"/>
            <w:gridSpan w:val="2"/>
            <w:tcBorders>
              <w:top w:val="single" w:color="000000" w:sz="4" w:space="0"/>
              <w:left w:val="nil"/>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组织架构建立</w:t>
            </w:r>
          </w:p>
        </w:tc>
        <w:tc>
          <w:tcPr>
            <w:tcW w:w="7884" w:type="dxa"/>
            <w:gridSpan w:val="2"/>
            <w:tcBorders>
              <w:top w:val="single" w:color="000000" w:sz="4" w:space="0"/>
              <w:left w:val="nil"/>
              <w:bottom w:val="single" w:color="000000" w:sz="4" w:space="0"/>
              <w:right w:val="single" w:color="000000" w:sz="4" w:space="0"/>
            </w:tcBorders>
            <w:vAlign w:val="center"/>
          </w:tcPr>
          <w:p>
            <w:pPr>
              <w:jc w:val="left"/>
              <w:rPr>
                <w:rStyle w:val="17"/>
                <w:kern w:val="0"/>
                <w:sz w:val="24"/>
                <w:szCs w:val="24"/>
              </w:rPr>
            </w:pPr>
            <w:r>
              <w:rPr>
                <w:rStyle w:val="17"/>
                <w:kern w:val="0"/>
                <w:sz w:val="24"/>
                <w:szCs w:val="24"/>
              </w:rPr>
              <w:t>可通过手工方式、LDAP导入、数据库导入（SQL Server、MySQL、ORACLE）、文件导入、IP扫描等方式建立组织架构。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54" w:type="dxa"/>
            <w:vMerge w:val="continue"/>
            <w:tcBorders>
              <w:left w:val="single" w:color="000000" w:sz="4" w:space="0"/>
              <w:right w:val="single" w:color="000000" w:sz="4" w:space="0"/>
            </w:tcBorders>
            <w:vAlign w:val="center"/>
          </w:tcPr>
          <w:p>
            <w:pPr>
              <w:jc w:val="center"/>
              <w:rPr>
                <w:rStyle w:val="17"/>
                <w:kern w:val="0"/>
                <w:sz w:val="24"/>
                <w:szCs w:val="24"/>
              </w:rPr>
            </w:pPr>
          </w:p>
        </w:tc>
        <w:tc>
          <w:tcPr>
            <w:tcW w:w="1302" w:type="dxa"/>
            <w:gridSpan w:val="2"/>
            <w:tcBorders>
              <w:top w:val="nil"/>
              <w:left w:val="nil"/>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web认证</w:t>
            </w:r>
          </w:p>
        </w:tc>
        <w:tc>
          <w:tcPr>
            <w:tcW w:w="7884" w:type="dxa"/>
            <w:gridSpan w:val="2"/>
            <w:tcBorders>
              <w:top w:val="nil"/>
              <w:left w:val="nil"/>
              <w:bottom w:val="single" w:color="000000" w:sz="4" w:space="0"/>
              <w:right w:val="single" w:color="000000" w:sz="4" w:space="0"/>
            </w:tcBorders>
            <w:vAlign w:val="center"/>
          </w:tcPr>
          <w:p>
            <w:pPr>
              <w:jc w:val="left"/>
              <w:rPr>
                <w:rStyle w:val="17"/>
                <w:kern w:val="0"/>
                <w:sz w:val="24"/>
                <w:szCs w:val="24"/>
              </w:rPr>
            </w:pPr>
            <w:r>
              <w:rPr>
                <w:rStyle w:val="17"/>
                <w:kern w:val="0"/>
                <w:sz w:val="24"/>
                <w:szCs w:val="24"/>
              </w:rPr>
              <w:t>支持本地、LDAP、Radius、邮件认证方式的WEB认证。支持在界面上通过配置，将一台设备作为独立的认证服务器配合审计设备使用，提升认证性能。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54" w:type="dxa"/>
            <w:vMerge w:val="continue"/>
            <w:tcBorders>
              <w:left w:val="single" w:color="000000" w:sz="4" w:space="0"/>
              <w:right w:val="single" w:color="000000" w:sz="4" w:space="0"/>
            </w:tcBorders>
            <w:vAlign w:val="center"/>
          </w:tcPr>
          <w:p>
            <w:pPr>
              <w:jc w:val="center"/>
              <w:rPr>
                <w:rStyle w:val="17"/>
                <w:kern w:val="0"/>
                <w:sz w:val="24"/>
                <w:szCs w:val="24"/>
              </w:rPr>
            </w:pPr>
          </w:p>
        </w:tc>
        <w:tc>
          <w:tcPr>
            <w:tcW w:w="1302" w:type="dxa"/>
            <w:gridSpan w:val="2"/>
            <w:tcBorders>
              <w:top w:val="nil"/>
              <w:left w:val="nil"/>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短信认证</w:t>
            </w:r>
          </w:p>
        </w:tc>
        <w:tc>
          <w:tcPr>
            <w:tcW w:w="7884" w:type="dxa"/>
            <w:gridSpan w:val="2"/>
            <w:tcBorders>
              <w:top w:val="nil"/>
              <w:left w:val="nil"/>
              <w:bottom w:val="single" w:color="000000" w:sz="4" w:space="0"/>
              <w:right w:val="single" w:color="000000" w:sz="4" w:space="0"/>
            </w:tcBorders>
            <w:vAlign w:val="center"/>
          </w:tcPr>
          <w:p>
            <w:pPr>
              <w:jc w:val="left"/>
              <w:rPr>
                <w:rStyle w:val="17"/>
                <w:kern w:val="0"/>
                <w:sz w:val="24"/>
                <w:szCs w:val="24"/>
              </w:rPr>
            </w:pPr>
            <w:r>
              <w:rPr>
                <w:rStyle w:val="17"/>
                <w:kern w:val="0"/>
                <w:sz w:val="24"/>
                <w:szCs w:val="24"/>
              </w:rPr>
              <w:t>支持短信认证方式，用户输入手机号作为用户名，设备通过短信网关为用户手机发送密码。短信认证能够根据不同用户推送不同认证页面，该认证页面可自定义。支持白名单。支持完整短信认证功能，无需额外购买短信网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日志统计与报表</w:t>
            </w:r>
          </w:p>
        </w:tc>
        <w:tc>
          <w:tcPr>
            <w:tcW w:w="1302" w:type="dxa"/>
            <w:gridSpan w:val="2"/>
            <w:tcBorders>
              <w:top w:val="single" w:color="000000" w:sz="4" w:space="0"/>
              <w:left w:val="nil"/>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日志查询</w:t>
            </w:r>
          </w:p>
        </w:tc>
        <w:tc>
          <w:tcPr>
            <w:tcW w:w="7884" w:type="dxa"/>
            <w:gridSpan w:val="2"/>
            <w:tcBorders>
              <w:top w:val="single" w:color="000000" w:sz="4" w:space="0"/>
              <w:left w:val="nil"/>
              <w:bottom w:val="single" w:color="000000" w:sz="4" w:space="0"/>
              <w:right w:val="single" w:color="000000" w:sz="4" w:space="0"/>
            </w:tcBorders>
            <w:vAlign w:val="center"/>
          </w:tcPr>
          <w:p>
            <w:pPr>
              <w:jc w:val="left"/>
              <w:rPr>
                <w:rStyle w:val="17"/>
                <w:kern w:val="0"/>
                <w:sz w:val="24"/>
                <w:szCs w:val="24"/>
              </w:rPr>
            </w:pPr>
            <w:r>
              <w:rPr>
                <w:rStyle w:val="17"/>
                <w:kern w:val="0"/>
                <w:sz w:val="24"/>
                <w:szCs w:val="24"/>
              </w:rPr>
              <w:t>可查询到网页访问、论坛发帖，webmail、邮件收发、应用访问、应用流量历史日志。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7"/>
                <w:kern w:val="0"/>
                <w:sz w:val="24"/>
                <w:szCs w:val="24"/>
              </w:rPr>
            </w:pPr>
          </w:p>
        </w:tc>
        <w:tc>
          <w:tcPr>
            <w:tcW w:w="1302" w:type="dxa"/>
            <w:gridSpan w:val="2"/>
            <w:tcBorders>
              <w:top w:val="nil"/>
              <w:left w:val="nil"/>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综合分析报告</w:t>
            </w:r>
          </w:p>
        </w:tc>
        <w:tc>
          <w:tcPr>
            <w:tcW w:w="7884" w:type="dxa"/>
            <w:gridSpan w:val="2"/>
            <w:tcBorders>
              <w:top w:val="nil"/>
              <w:left w:val="nil"/>
              <w:bottom w:val="single" w:color="000000" w:sz="4" w:space="0"/>
              <w:right w:val="single" w:color="000000" w:sz="4" w:space="0"/>
            </w:tcBorders>
            <w:vAlign w:val="center"/>
          </w:tcPr>
          <w:p>
            <w:pPr>
              <w:jc w:val="left"/>
              <w:rPr>
                <w:rStyle w:val="17"/>
                <w:kern w:val="0"/>
                <w:sz w:val="24"/>
                <w:szCs w:val="24"/>
              </w:rPr>
            </w:pPr>
            <w:r>
              <w:rPr>
                <w:rStyle w:val="17"/>
                <w:kern w:val="0"/>
                <w:sz w:val="24"/>
                <w:szCs w:val="24"/>
              </w:rPr>
              <w:t>支持上网行为分析报表、网络带宽分析报表、合规分析报表、效率分析报表、安全分析报表。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454" w:type="dxa"/>
            <w:tcBorders>
              <w:top w:val="nil"/>
              <w:left w:val="single" w:color="000000" w:sz="4" w:space="0"/>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系统管理</w:t>
            </w:r>
          </w:p>
        </w:tc>
        <w:tc>
          <w:tcPr>
            <w:tcW w:w="1302" w:type="dxa"/>
            <w:gridSpan w:val="2"/>
            <w:tcBorders>
              <w:top w:val="nil"/>
              <w:left w:val="nil"/>
              <w:bottom w:val="single" w:color="000000" w:sz="4" w:space="0"/>
              <w:right w:val="single" w:color="000000" w:sz="4" w:space="0"/>
            </w:tcBorders>
            <w:vAlign w:val="center"/>
          </w:tcPr>
          <w:p>
            <w:pPr>
              <w:jc w:val="center"/>
              <w:rPr>
                <w:rStyle w:val="17"/>
                <w:kern w:val="0"/>
                <w:sz w:val="24"/>
                <w:szCs w:val="24"/>
              </w:rPr>
            </w:pPr>
            <w:r>
              <w:rPr>
                <w:rStyle w:val="17"/>
                <w:kern w:val="0"/>
                <w:sz w:val="24"/>
                <w:szCs w:val="24"/>
              </w:rPr>
              <w:t>支持三权制衡管理机制</w:t>
            </w:r>
          </w:p>
        </w:tc>
        <w:tc>
          <w:tcPr>
            <w:tcW w:w="7884" w:type="dxa"/>
            <w:gridSpan w:val="2"/>
            <w:tcBorders>
              <w:top w:val="nil"/>
              <w:left w:val="nil"/>
              <w:bottom w:val="single" w:color="000000" w:sz="4" w:space="0"/>
              <w:right w:val="single" w:color="000000" w:sz="4" w:space="0"/>
            </w:tcBorders>
            <w:vAlign w:val="center"/>
          </w:tcPr>
          <w:p>
            <w:pPr>
              <w:jc w:val="left"/>
              <w:rPr>
                <w:rStyle w:val="17"/>
                <w:kern w:val="0"/>
                <w:sz w:val="24"/>
                <w:szCs w:val="24"/>
              </w:rPr>
            </w:pPr>
            <w:r>
              <w:rPr>
                <w:rStyle w:val="17"/>
                <w:kern w:val="0"/>
                <w:sz w:val="24"/>
                <w:szCs w:val="24"/>
              </w:rPr>
              <w:t>支持策略管理、日志审计、权限分配相互独立的三权制衡管理机制，避免超级管理员权限过大的弊端。系统管理员和审计员的账号创建，权限变更需要审核员审批才能生效。管理员和审计员的操作会形成日志受审核员监督。</w:t>
            </w:r>
          </w:p>
        </w:tc>
      </w:tr>
    </w:tbl>
    <w:p>
      <w:pPr>
        <w:pStyle w:val="2"/>
        <w:ind w:left="0" w:leftChars="0" w:firstLineChars="0"/>
        <w:rPr>
          <w:rStyle w:val="17"/>
          <w:rFonts w:eastAsia="宋体"/>
          <w:kern w:val="0"/>
          <w:sz w:val="24"/>
          <w:szCs w:val="24"/>
        </w:rPr>
      </w:pPr>
    </w:p>
    <w:p>
      <w:pPr>
        <w:jc w:val="left"/>
        <w:rPr>
          <w:rStyle w:val="17"/>
          <w:kern w:val="0"/>
          <w:sz w:val="24"/>
          <w:szCs w:val="24"/>
        </w:rPr>
      </w:pPr>
      <w:r>
        <w:rPr>
          <w:rStyle w:val="17"/>
          <w:kern w:val="0"/>
          <w:sz w:val="24"/>
          <w:szCs w:val="24"/>
        </w:rPr>
        <w:t>5、</w:t>
      </w:r>
      <w:r>
        <w:rPr>
          <w:rStyle w:val="17"/>
          <w:b/>
          <w:kern w:val="0"/>
          <w:sz w:val="24"/>
          <w:szCs w:val="24"/>
        </w:rPr>
        <w:t>入侵检测探针</w:t>
      </w:r>
      <w:r>
        <w:rPr>
          <w:rStyle w:val="17"/>
          <w:kern w:val="0"/>
          <w:sz w:val="24"/>
          <w:szCs w:val="24"/>
        </w:rPr>
        <w:t xml:space="preserve">  推荐品牌：启明星辰  奇安信  天融信</w:t>
      </w:r>
    </w:p>
    <w:tbl>
      <w:tblPr>
        <w:tblStyle w:val="8"/>
        <w:tblW w:w="9854"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619"/>
        <w:gridCol w:w="1236"/>
        <w:gridCol w:w="799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1855" w:type="dxa"/>
            <w:gridSpan w:val="2"/>
            <w:tcBorders>
              <w:top w:val="single" w:color="000000" w:sz="8" w:space="0"/>
              <w:left w:val="single" w:color="000000" w:sz="8" w:space="0"/>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指标项</w:t>
            </w:r>
          </w:p>
        </w:tc>
        <w:tc>
          <w:tcPr>
            <w:tcW w:w="7999" w:type="dxa"/>
            <w:tcBorders>
              <w:top w:val="single" w:color="000000" w:sz="8" w:space="0"/>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指标要求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1855" w:type="dxa"/>
            <w:gridSpan w:val="2"/>
            <w:tcBorders>
              <w:top w:val="nil"/>
              <w:left w:val="single" w:color="000000" w:sz="8" w:space="0"/>
              <w:bottom w:val="single" w:color="000000" w:sz="8" w:space="0"/>
              <w:right w:val="single" w:color="000000" w:sz="8" w:space="0"/>
            </w:tcBorders>
            <w:vAlign w:val="center"/>
          </w:tcPr>
          <w:p>
            <w:pPr>
              <w:jc w:val="left"/>
              <w:rPr>
                <w:rStyle w:val="17"/>
                <w:kern w:val="0"/>
                <w:sz w:val="24"/>
                <w:szCs w:val="24"/>
              </w:rPr>
            </w:pPr>
            <w:r>
              <w:rPr>
                <w:rStyle w:val="17"/>
                <w:kern w:val="0"/>
                <w:sz w:val="24"/>
                <w:szCs w:val="24"/>
              </w:rPr>
              <w:t>硬件配置</w:t>
            </w:r>
          </w:p>
        </w:tc>
        <w:tc>
          <w:tcPr>
            <w:tcW w:w="7999" w:type="dxa"/>
            <w:tcBorders>
              <w:top w:val="nil"/>
              <w:left w:val="nil"/>
              <w:bottom w:val="single" w:color="000000" w:sz="8" w:space="0"/>
              <w:right w:val="single" w:color="000000" w:sz="8" w:space="0"/>
            </w:tcBorders>
          </w:tcPr>
          <w:p>
            <w:pPr>
              <w:jc w:val="left"/>
              <w:rPr>
                <w:rStyle w:val="17"/>
                <w:kern w:val="0"/>
                <w:sz w:val="24"/>
                <w:szCs w:val="24"/>
              </w:rPr>
            </w:pPr>
            <w:r>
              <w:rPr>
                <w:rStyle w:val="17"/>
                <w:kern w:val="0"/>
                <w:sz w:val="24"/>
                <w:szCs w:val="24"/>
              </w:rPr>
              <w:t xml:space="preserve">2U机箱，双电源，标准配置6个10/100/1000M自适应千兆电口，2个万兆光口，1个Console口，1个接口扩展板卡插槽，网络流量采集、威胁数据采集和日志上报功能情况下混合流吞吐量5Gbps，HTTP并发连接数400万，HTTP新建连接速率15万/秒；包括5年硬件维修服务。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1855" w:type="dxa"/>
            <w:gridSpan w:val="2"/>
            <w:tcBorders>
              <w:top w:val="nil"/>
              <w:left w:val="single" w:color="000000" w:sz="8" w:space="0"/>
              <w:bottom w:val="single" w:color="000000" w:sz="8" w:space="0"/>
              <w:right w:val="single" w:color="000000" w:sz="8" w:space="0"/>
            </w:tcBorders>
            <w:vAlign w:val="center"/>
          </w:tcPr>
          <w:p>
            <w:pPr>
              <w:jc w:val="left"/>
              <w:rPr>
                <w:rStyle w:val="17"/>
                <w:kern w:val="0"/>
                <w:sz w:val="24"/>
                <w:szCs w:val="24"/>
              </w:rPr>
            </w:pPr>
            <w:r>
              <w:rPr>
                <w:rStyle w:val="17"/>
                <w:kern w:val="0"/>
                <w:sz w:val="24"/>
                <w:szCs w:val="24"/>
              </w:rPr>
              <w:t>兼容性要求</w:t>
            </w:r>
          </w:p>
        </w:tc>
        <w:tc>
          <w:tcPr>
            <w:tcW w:w="7999" w:type="dxa"/>
            <w:tcBorders>
              <w:top w:val="nil"/>
              <w:left w:val="nil"/>
              <w:bottom w:val="single" w:color="000000" w:sz="8" w:space="0"/>
              <w:right w:val="single" w:color="000000" w:sz="8" w:space="0"/>
            </w:tcBorders>
          </w:tcPr>
          <w:p>
            <w:pPr>
              <w:jc w:val="left"/>
              <w:rPr>
                <w:rStyle w:val="17"/>
                <w:kern w:val="0"/>
                <w:sz w:val="24"/>
                <w:szCs w:val="24"/>
              </w:rPr>
            </w:pPr>
            <w:r>
              <w:rPr>
                <w:rStyle w:val="17"/>
                <w:kern w:val="0"/>
                <w:sz w:val="24"/>
                <w:szCs w:val="24"/>
              </w:rPr>
              <w:t>要求流量入侵检测探针可以与集中监控与数据分析中心平台进行联动，流量入侵检测探针抓取的数据形成流量日志和安全日志，发送给平台进行统一分析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619" w:type="dxa"/>
            <w:tcBorders>
              <w:top w:val="nil"/>
              <w:left w:val="single" w:color="000000" w:sz="8" w:space="0"/>
              <w:bottom w:val="single" w:color="000000" w:sz="8" w:space="0"/>
              <w:right w:val="single" w:color="000000" w:sz="8" w:space="0"/>
            </w:tcBorders>
            <w:vAlign w:val="center"/>
          </w:tcPr>
          <w:p>
            <w:pPr>
              <w:jc w:val="left"/>
              <w:rPr>
                <w:rStyle w:val="17"/>
                <w:kern w:val="0"/>
                <w:sz w:val="24"/>
                <w:szCs w:val="24"/>
              </w:rPr>
            </w:pPr>
            <w:r>
              <w:rPr>
                <w:rStyle w:val="17"/>
                <w:kern w:val="0"/>
                <w:sz w:val="24"/>
                <w:szCs w:val="24"/>
              </w:rPr>
              <w:t>部署模式</w:t>
            </w:r>
          </w:p>
        </w:tc>
        <w:tc>
          <w:tcPr>
            <w:tcW w:w="1236"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旁路部署</w:t>
            </w:r>
          </w:p>
        </w:tc>
        <w:tc>
          <w:tcPr>
            <w:tcW w:w="7999"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支持通过流量镜像的方式旁路部署在数据链路中，实现网络流量数据采集、威胁检测和日志外发，支持通过重置会话的方式阻断TCP威胁会话连接，支持通过流量被动识别资产。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619" w:type="dxa"/>
            <w:tcBorders>
              <w:top w:val="nil"/>
              <w:left w:val="single" w:color="000000" w:sz="8" w:space="0"/>
              <w:bottom w:val="single" w:color="000000" w:sz="8" w:space="0"/>
              <w:right w:val="single" w:color="000000" w:sz="8" w:space="0"/>
            </w:tcBorders>
            <w:vAlign w:val="center"/>
          </w:tcPr>
          <w:p>
            <w:pPr>
              <w:jc w:val="left"/>
              <w:rPr>
                <w:rStyle w:val="17"/>
                <w:kern w:val="0"/>
                <w:sz w:val="24"/>
                <w:szCs w:val="24"/>
              </w:rPr>
            </w:pPr>
            <w:r>
              <w:rPr>
                <w:rStyle w:val="17"/>
                <w:kern w:val="0"/>
                <w:sz w:val="24"/>
                <w:szCs w:val="24"/>
              </w:rPr>
              <w:t>策略配置</w:t>
            </w:r>
          </w:p>
        </w:tc>
        <w:tc>
          <w:tcPr>
            <w:tcW w:w="1236"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流量解析</w:t>
            </w:r>
          </w:p>
        </w:tc>
        <w:tc>
          <w:tcPr>
            <w:tcW w:w="7999"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★具有自定义解析流量能力，支持基于正则表达式、TLV格式、固定长度等提取模式对应用流量解析（投标文件需要提供能够体现上述功能及配置选项的截图加盖原厂公章。）</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trHeight w:val="1054" w:hRule="atLeast"/>
          <w:jc w:val="center"/>
        </w:trPr>
        <w:tc>
          <w:tcPr>
            <w:tcW w:w="619" w:type="dxa"/>
            <w:tcBorders>
              <w:top w:val="nil"/>
              <w:left w:val="single" w:color="000000" w:sz="8" w:space="0"/>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数据采集</w:t>
            </w:r>
          </w:p>
        </w:tc>
        <w:tc>
          <w:tcPr>
            <w:tcW w:w="1236"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TCP、UDP流量采集</w:t>
            </w:r>
          </w:p>
        </w:tc>
        <w:tc>
          <w:tcPr>
            <w:tcW w:w="7999"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支持解析、生成及外发TCP、UDP流量日志。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619" w:type="dxa"/>
            <w:vMerge w:val="restart"/>
            <w:tcBorders>
              <w:top w:val="nil"/>
              <w:left w:val="single" w:color="000000" w:sz="8" w:space="0"/>
              <w:bottom w:val="single" w:color="000000" w:sz="8" w:space="0"/>
              <w:right w:val="single" w:color="000000" w:sz="8" w:space="0"/>
            </w:tcBorders>
            <w:vAlign w:val="center"/>
          </w:tcPr>
          <w:p>
            <w:pPr>
              <w:jc w:val="left"/>
              <w:rPr>
                <w:rStyle w:val="17"/>
                <w:kern w:val="0"/>
                <w:sz w:val="24"/>
                <w:szCs w:val="24"/>
              </w:rPr>
            </w:pPr>
            <w:r>
              <w:rPr>
                <w:rStyle w:val="17"/>
                <w:kern w:val="0"/>
                <w:sz w:val="24"/>
                <w:szCs w:val="24"/>
              </w:rPr>
              <w:t>威胁检测</w:t>
            </w:r>
          </w:p>
        </w:tc>
        <w:tc>
          <w:tcPr>
            <w:tcW w:w="1236"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漏洞检测</w:t>
            </w:r>
          </w:p>
        </w:tc>
        <w:tc>
          <w:tcPr>
            <w:tcW w:w="7999"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支持多种类型的漏洞检测，包括：缓冲区溢出、拒绝服务和恶意扫描。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619" w:type="dxa"/>
            <w:vMerge w:val="continue"/>
            <w:tcBorders>
              <w:top w:val="nil"/>
              <w:left w:val="single" w:color="000000" w:sz="8" w:space="0"/>
              <w:bottom w:val="single" w:color="000000" w:sz="8" w:space="0"/>
              <w:right w:val="single" w:color="000000" w:sz="8" w:space="0"/>
            </w:tcBorders>
            <w:vAlign w:val="center"/>
          </w:tcPr>
          <w:p>
            <w:pPr>
              <w:jc w:val="left"/>
              <w:rPr>
                <w:rStyle w:val="17"/>
                <w:kern w:val="0"/>
                <w:sz w:val="24"/>
                <w:szCs w:val="24"/>
              </w:rPr>
            </w:pPr>
          </w:p>
        </w:tc>
        <w:tc>
          <w:tcPr>
            <w:tcW w:w="1236"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Web威胁检测</w:t>
            </w:r>
          </w:p>
        </w:tc>
        <w:tc>
          <w:tcPr>
            <w:tcW w:w="7999"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支持Web威胁检测，包括：Web扫描攻击、Webshell后门访问行为检测、DDoS、撞库攻击、SQL注入攻击、跨站脚本攻击、命令执行和文件包含。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619" w:type="dxa"/>
            <w:vMerge w:val="continue"/>
            <w:tcBorders>
              <w:top w:val="nil"/>
              <w:left w:val="single" w:color="000000" w:sz="8" w:space="0"/>
              <w:bottom w:val="single" w:color="000000" w:sz="8" w:space="0"/>
              <w:right w:val="single" w:color="000000" w:sz="8" w:space="0"/>
            </w:tcBorders>
            <w:vAlign w:val="center"/>
          </w:tcPr>
          <w:p>
            <w:pPr>
              <w:jc w:val="left"/>
              <w:rPr>
                <w:rStyle w:val="17"/>
                <w:kern w:val="0"/>
                <w:sz w:val="24"/>
                <w:szCs w:val="24"/>
              </w:rPr>
            </w:pPr>
          </w:p>
        </w:tc>
        <w:tc>
          <w:tcPr>
            <w:tcW w:w="1236"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威胁检测</w:t>
            </w:r>
          </w:p>
        </w:tc>
        <w:tc>
          <w:tcPr>
            <w:tcW w:w="7999"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★系统本地需具备攻击告警的过滤能力，能够针对IP地址或端口对攻击告警进行过滤，支持攻击特征高亮展示，方便分析人员事件分析（投标文件需要提供能够体现上述功能及配置选项的截图加盖原厂公章。）</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619" w:type="dxa"/>
            <w:tcBorders>
              <w:top w:val="nil"/>
              <w:left w:val="single" w:color="000000" w:sz="8" w:space="0"/>
              <w:bottom w:val="nil"/>
              <w:right w:val="single" w:color="000000" w:sz="8" w:space="0"/>
            </w:tcBorders>
            <w:vAlign w:val="center"/>
          </w:tcPr>
          <w:p>
            <w:pPr>
              <w:jc w:val="left"/>
              <w:rPr>
                <w:rStyle w:val="17"/>
                <w:kern w:val="0"/>
                <w:sz w:val="24"/>
                <w:szCs w:val="24"/>
              </w:rPr>
            </w:pPr>
            <w:r>
              <w:rPr>
                <w:rStyle w:val="17"/>
                <w:kern w:val="0"/>
                <w:sz w:val="24"/>
                <w:szCs w:val="24"/>
              </w:rPr>
              <w:t>系统管理</w:t>
            </w:r>
          </w:p>
        </w:tc>
        <w:tc>
          <w:tcPr>
            <w:tcW w:w="1236" w:type="dxa"/>
            <w:tcBorders>
              <w:top w:val="nil"/>
              <w:left w:val="nil"/>
              <w:bottom w:val="nil"/>
              <w:right w:val="single" w:color="000000" w:sz="8" w:space="0"/>
            </w:tcBorders>
            <w:vAlign w:val="center"/>
          </w:tcPr>
          <w:p>
            <w:pPr>
              <w:jc w:val="left"/>
              <w:rPr>
                <w:rStyle w:val="17"/>
                <w:kern w:val="0"/>
                <w:sz w:val="24"/>
                <w:szCs w:val="24"/>
              </w:rPr>
            </w:pPr>
            <w:r>
              <w:rPr>
                <w:rStyle w:val="17"/>
                <w:kern w:val="0"/>
                <w:sz w:val="24"/>
                <w:szCs w:val="24"/>
              </w:rPr>
              <w:t>安全管理</w:t>
            </w:r>
          </w:p>
        </w:tc>
        <w:tc>
          <w:tcPr>
            <w:tcW w:w="7999" w:type="dxa"/>
            <w:tcBorders>
              <w:top w:val="nil"/>
              <w:left w:val="nil"/>
              <w:bottom w:val="nil"/>
              <w:right w:val="single" w:color="000000" w:sz="8" w:space="0"/>
            </w:tcBorders>
            <w:vAlign w:val="center"/>
          </w:tcPr>
          <w:p>
            <w:pPr>
              <w:jc w:val="left"/>
              <w:rPr>
                <w:rStyle w:val="17"/>
                <w:kern w:val="0"/>
                <w:sz w:val="24"/>
                <w:szCs w:val="24"/>
              </w:rPr>
            </w:pPr>
            <w:r>
              <w:rPr>
                <w:rStyle w:val="17"/>
                <w:kern w:val="0"/>
                <w:sz w:val="24"/>
                <w:szCs w:val="24"/>
              </w:rPr>
              <w:t>支持HTTP、HTTPS、Telnet、远程SSH、Console等多种管理方式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619" w:type="dxa"/>
            <w:tcBorders>
              <w:top w:val="nil"/>
              <w:left w:val="single" w:color="000000" w:sz="8" w:space="0"/>
              <w:bottom w:val="single" w:color="000000" w:sz="8" w:space="0"/>
              <w:right w:val="single" w:color="000000" w:sz="8" w:space="0"/>
            </w:tcBorders>
            <w:vAlign w:val="center"/>
          </w:tcPr>
          <w:p>
            <w:pPr>
              <w:jc w:val="left"/>
              <w:rPr>
                <w:rStyle w:val="17"/>
                <w:kern w:val="0"/>
                <w:sz w:val="24"/>
                <w:szCs w:val="24"/>
              </w:rPr>
            </w:pPr>
          </w:p>
        </w:tc>
        <w:tc>
          <w:tcPr>
            <w:tcW w:w="1236" w:type="dxa"/>
            <w:tcBorders>
              <w:top w:val="nil"/>
              <w:left w:val="nil"/>
              <w:bottom w:val="single" w:color="000000" w:sz="8" w:space="0"/>
              <w:right w:val="single" w:color="000000" w:sz="8" w:space="0"/>
            </w:tcBorders>
            <w:vAlign w:val="center"/>
          </w:tcPr>
          <w:p>
            <w:pPr>
              <w:jc w:val="left"/>
              <w:rPr>
                <w:rStyle w:val="17"/>
                <w:kern w:val="0"/>
                <w:sz w:val="24"/>
                <w:szCs w:val="24"/>
              </w:rPr>
            </w:pPr>
          </w:p>
        </w:tc>
        <w:tc>
          <w:tcPr>
            <w:tcW w:w="7999" w:type="dxa"/>
            <w:tcBorders>
              <w:top w:val="nil"/>
              <w:left w:val="nil"/>
              <w:bottom w:val="single" w:color="000000" w:sz="8" w:space="0"/>
              <w:right w:val="single" w:color="000000" w:sz="8" w:space="0"/>
            </w:tcBorders>
            <w:vAlign w:val="center"/>
          </w:tcPr>
          <w:p>
            <w:pPr>
              <w:jc w:val="left"/>
              <w:rPr>
                <w:rStyle w:val="17"/>
                <w:kern w:val="0"/>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619" w:type="dxa"/>
            <w:vMerge w:val="restart"/>
            <w:tcBorders>
              <w:top w:val="nil"/>
              <w:left w:val="single" w:color="000000" w:sz="8" w:space="0"/>
              <w:bottom w:val="outset" w:color="000000" w:sz="6" w:space="0"/>
              <w:right w:val="single" w:color="000000" w:sz="8" w:space="0"/>
            </w:tcBorders>
            <w:vAlign w:val="center"/>
          </w:tcPr>
          <w:p>
            <w:pPr>
              <w:jc w:val="left"/>
              <w:rPr>
                <w:rStyle w:val="17"/>
                <w:kern w:val="0"/>
                <w:sz w:val="24"/>
                <w:szCs w:val="24"/>
              </w:rPr>
            </w:pPr>
            <w:r>
              <w:rPr>
                <w:rStyle w:val="17"/>
                <w:kern w:val="0"/>
                <w:sz w:val="24"/>
                <w:szCs w:val="24"/>
              </w:rPr>
              <w:t>公司资质</w:t>
            </w:r>
          </w:p>
        </w:tc>
        <w:tc>
          <w:tcPr>
            <w:tcW w:w="1236" w:type="dxa"/>
            <w:vMerge w:val="restart"/>
            <w:tcBorders>
              <w:top w:val="nil"/>
              <w:left w:val="nil"/>
              <w:bottom w:val="outset" w:color="000000" w:sz="6" w:space="0"/>
              <w:right w:val="single" w:color="000000" w:sz="8" w:space="0"/>
            </w:tcBorders>
            <w:vAlign w:val="center"/>
          </w:tcPr>
          <w:p>
            <w:pPr>
              <w:jc w:val="left"/>
              <w:rPr>
                <w:rStyle w:val="17"/>
                <w:kern w:val="0"/>
                <w:sz w:val="24"/>
                <w:szCs w:val="24"/>
              </w:rPr>
            </w:pPr>
            <w:r>
              <w:rPr>
                <w:rStyle w:val="17"/>
                <w:kern w:val="0"/>
                <w:sz w:val="24"/>
                <w:szCs w:val="24"/>
              </w:rPr>
              <w:t>公司资质</w:t>
            </w:r>
          </w:p>
        </w:tc>
        <w:tc>
          <w:tcPr>
            <w:tcW w:w="7999"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所投安全产品原厂商拥有云计算安全保障能力，具备国测信息安全服务资质-云计算安全类证明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619" w:type="dxa"/>
            <w:vMerge w:val="continue"/>
            <w:tcBorders>
              <w:top w:val="outset" w:color="000000" w:sz="6" w:space="0"/>
              <w:left w:val="single" w:color="000000" w:sz="8" w:space="0"/>
              <w:bottom w:val="outset" w:color="000000" w:sz="6" w:space="0"/>
              <w:right w:val="single" w:color="000000" w:sz="8" w:space="0"/>
            </w:tcBorders>
            <w:vAlign w:val="center"/>
          </w:tcPr>
          <w:p>
            <w:pPr>
              <w:jc w:val="left"/>
              <w:rPr>
                <w:rStyle w:val="17"/>
                <w:kern w:val="0"/>
                <w:sz w:val="24"/>
                <w:szCs w:val="24"/>
              </w:rPr>
            </w:pPr>
          </w:p>
        </w:tc>
        <w:tc>
          <w:tcPr>
            <w:tcW w:w="1236" w:type="dxa"/>
            <w:vMerge w:val="continue"/>
            <w:tcBorders>
              <w:top w:val="outset" w:color="000000" w:sz="6" w:space="0"/>
              <w:left w:val="nil"/>
              <w:bottom w:val="outset" w:color="000000" w:sz="6" w:space="0"/>
              <w:right w:val="single" w:color="000000" w:sz="8" w:space="0"/>
            </w:tcBorders>
            <w:vAlign w:val="center"/>
          </w:tcPr>
          <w:p>
            <w:pPr>
              <w:jc w:val="left"/>
              <w:rPr>
                <w:rStyle w:val="17"/>
                <w:kern w:val="0"/>
                <w:sz w:val="24"/>
                <w:szCs w:val="24"/>
              </w:rPr>
            </w:pPr>
          </w:p>
        </w:tc>
        <w:tc>
          <w:tcPr>
            <w:tcW w:w="7999"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所投安全产品原厂商拥有应急服务支撑能力，具备CNCERT反网络诈骗领域应急服务支撑单位证明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cantSplit/>
          <w:jc w:val="center"/>
        </w:trPr>
        <w:tc>
          <w:tcPr>
            <w:tcW w:w="619" w:type="dxa"/>
            <w:vMerge w:val="continue"/>
            <w:tcBorders>
              <w:top w:val="outset" w:color="000000" w:sz="6" w:space="0"/>
              <w:left w:val="single" w:color="000000" w:sz="8" w:space="0"/>
              <w:bottom w:val="single" w:color="000000" w:sz="8" w:space="0"/>
              <w:right w:val="single" w:color="000000" w:sz="8" w:space="0"/>
            </w:tcBorders>
            <w:vAlign w:val="center"/>
          </w:tcPr>
          <w:p>
            <w:pPr>
              <w:jc w:val="left"/>
              <w:rPr>
                <w:rStyle w:val="17"/>
                <w:kern w:val="0"/>
                <w:sz w:val="24"/>
                <w:szCs w:val="24"/>
              </w:rPr>
            </w:pPr>
          </w:p>
        </w:tc>
        <w:tc>
          <w:tcPr>
            <w:tcW w:w="1236" w:type="dxa"/>
            <w:vMerge w:val="continue"/>
            <w:tcBorders>
              <w:top w:val="outset" w:color="000000" w:sz="6" w:space="0"/>
              <w:left w:val="nil"/>
              <w:bottom w:val="single" w:color="000000" w:sz="8" w:space="0"/>
              <w:right w:val="single" w:color="000000" w:sz="8" w:space="0"/>
            </w:tcBorders>
            <w:vAlign w:val="center"/>
          </w:tcPr>
          <w:p>
            <w:pPr>
              <w:jc w:val="left"/>
              <w:rPr>
                <w:rStyle w:val="17"/>
                <w:kern w:val="0"/>
                <w:sz w:val="24"/>
                <w:szCs w:val="24"/>
              </w:rPr>
            </w:pPr>
          </w:p>
        </w:tc>
        <w:tc>
          <w:tcPr>
            <w:tcW w:w="7999" w:type="dxa"/>
            <w:tcBorders>
              <w:top w:val="nil"/>
              <w:left w:val="nil"/>
              <w:bottom w:val="single" w:color="000000" w:sz="8" w:space="0"/>
              <w:right w:val="single" w:color="000000" w:sz="8" w:space="0"/>
            </w:tcBorders>
            <w:vAlign w:val="center"/>
          </w:tcPr>
          <w:p>
            <w:pPr>
              <w:jc w:val="left"/>
              <w:rPr>
                <w:rStyle w:val="17"/>
                <w:kern w:val="0"/>
                <w:sz w:val="24"/>
                <w:szCs w:val="24"/>
              </w:rPr>
            </w:pPr>
            <w:r>
              <w:rPr>
                <w:rStyle w:val="17"/>
                <w:kern w:val="0"/>
                <w:sz w:val="24"/>
                <w:szCs w:val="24"/>
              </w:rPr>
              <w:t>产品原厂商拥有CNVD提交漏洞的能力，要求具备2021全年度成员单位工作贡献排名前3名 。</w:t>
            </w:r>
          </w:p>
        </w:tc>
      </w:tr>
    </w:tbl>
    <w:p>
      <w:pPr>
        <w:spacing w:line="500" w:lineRule="atLeast"/>
        <w:rPr>
          <w:rStyle w:val="17"/>
          <w:rFonts w:ascii="宋体" w:hAnsi="宋体"/>
          <w:szCs w:val="21"/>
        </w:rPr>
      </w:pPr>
      <w:r>
        <w:rPr>
          <w:rStyle w:val="17"/>
          <w:rFonts w:ascii="宋体" w:hAnsi="宋体"/>
          <w:szCs w:val="21"/>
        </w:rPr>
        <w:t>注：</w:t>
      </w:r>
    </w:p>
    <w:p>
      <w:pPr>
        <w:pStyle w:val="2"/>
        <w:ind w:left="0" w:leftChars="0" w:firstLineChars="0"/>
        <w:rPr>
          <w:rStyle w:val="17"/>
          <w:rFonts w:ascii="仿宋" w:hAnsi="仿宋" w:eastAsia="仿宋"/>
        </w:rPr>
      </w:pPr>
      <w:r>
        <w:rPr>
          <w:rStyle w:val="17"/>
          <w:rFonts w:ascii="仿宋" w:hAnsi="仿宋" w:eastAsia="仿宋"/>
        </w:rPr>
        <w:t>1、1.项目中的推荐品牌，只是推荐所采购产品（设备）的档次。报价供应商如拟投产品不在推荐品牌之列的，报价货物品牌的技术参数不得低于推荐的品牌，同时报价供应商应当在递交询价响应文件1日前向采购单位提供货物的技术资料、相关证明材料及相关单位的成功使用案例，采购单位将组织进行评审，当三分之二及以上评委认定，所投品牌、型号档次等于或高于建议品牌档次的，将以补充通知的形式在相关网站予以公布，所投品牌档次低于推荐品牌档次的，则不予受理。询价响应文件中报价品牌、型号为非推荐品牌且未在规定时间内经采购单位评审通过以补充通知形式发布的，将被视作无效报价。</w:t>
      </w:r>
    </w:p>
    <w:p>
      <w:pPr>
        <w:pStyle w:val="2"/>
        <w:ind w:left="0" w:leftChars="0" w:firstLineChars="0"/>
        <w:rPr>
          <w:rStyle w:val="17"/>
          <w:rFonts w:ascii="仿宋" w:hAnsi="仿宋" w:eastAsia="仿宋"/>
        </w:rPr>
      </w:pPr>
      <w:r>
        <w:rPr>
          <w:rStyle w:val="17"/>
          <w:rFonts w:ascii="仿宋" w:hAnsi="仿宋" w:eastAsia="仿宋"/>
        </w:rPr>
        <w:t>2、打★为必须满足项，不满足视为无效投标。</w:t>
      </w:r>
    </w:p>
    <w:p>
      <w:pPr>
        <w:pStyle w:val="2"/>
        <w:ind w:left="0" w:leftChars="0" w:firstLineChars="0"/>
        <w:rPr>
          <w:rStyle w:val="17"/>
          <w:rFonts w:ascii="仿宋" w:hAnsi="仿宋" w:eastAsia="仿宋"/>
          <w:sz w:val="21"/>
          <w:szCs w:val="21"/>
        </w:rPr>
      </w:pPr>
    </w:p>
    <w:p>
      <w:pPr>
        <w:spacing w:line="400" w:lineRule="exact"/>
        <w:ind w:firstLine="420"/>
        <w:rPr>
          <w:rStyle w:val="17"/>
          <w:rFonts w:ascii="仿宋_GB2312" w:hAnsi="宋体" w:eastAsia="仿宋_GB2312"/>
          <w:bCs/>
          <w:sz w:val="28"/>
          <w:szCs w:val="28"/>
        </w:rPr>
      </w:pPr>
      <w:r>
        <w:rPr>
          <w:rStyle w:val="17"/>
          <w:rFonts w:ascii="仿宋_GB2312" w:hAnsi="宋体" w:eastAsia="仿宋_GB2312"/>
          <w:bCs/>
          <w:sz w:val="28"/>
          <w:szCs w:val="28"/>
        </w:rPr>
        <w:t>（三）采购标的数量、采购项目交付或者实施的时间和地点：</w:t>
      </w:r>
    </w:p>
    <w:p>
      <w:pPr>
        <w:tabs>
          <w:tab w:val="left" w:pos="720"/>
        </w:tabs>
        <w:spacing w:line="360" w:lineRule="auto"/>
        <w:jc w:val="left"/>
        <w:rPr>
          <w:rStyle w:val="17"/>
          <w:rFonts w:ascii="宋体" w:hAnsi="宋体"/>
          <w:sz w:val="28"/>
          <w:szCs w:val="28"/>
        </w:rPr>
      </w:pPr>
      <w:r>
        <w:rPr>
          <w:rStyle w:val="17"/>
          <w:rFonts w:ascii="宋体" w:hAnsi="宋体"/>
          <w:sz w:val="28"/>
          <w:szCs w:val="28"/>
        </w:rPr>
        <w:t xml:space="preserve">    1. 交货时间：合同签订后</w:t>
      </w:r>
      <w:r>
        <w:rPr>
          <w:rStyle w:val="17"/>
          <w:rFonts w:ascii="宋体" w:hAnsi="宋体"/>
          <w:sz w:val="28"/>
          <w:szCs w:val="28"/>
          <w:u w:val="single" w:color="000000"/>
        </w:rPr>
        <w:t>3</w:t>
      </w:r>
      <w:r>
        <w:rPr>
          <w:rStyle w:val="17"/>
          <w:rFonts w:ascii="宋体" w:hAnsi="宋体"/>
          <w:sz w:val="28"/>
          <w:szCs w:val="28"/>
        </w:rPr>
        <w:t>天内交货并安装调试完毕，如未能完成，甲方有权取消合同。</w:t>
      </w:r>
    </w:p>
    <w:p>
      <w:pPr>
        <w:spacing w:line="300" w:lineRule="auto"/>
        <w:ind w:firstLine="560" w:firstLineChars="200"/>
        <w:rPr>
          <w:rStyle w:val="17"/>
          <w:rFonts w:ascii="宋体" w:hAnsi="宋体" w:cs="宋体"/>
          <w:b/>
          <w:bCs/>
          <w:kern w:val="0"/>
          <w:sz w:val="24"/>
          <w:lang w:val="zh-CN"/>
        </w:rPr>
      </w:pPr>
      <w:r>
        <w:rPr>
          <w:rStyle w:val="17"/>
          <w:rFonts w:ascii="宋体" w:hAnsi="宋体"/>
          <w:sz w:val="28"/>
          <w:szCs w:val="28"/>
        </w:rPr>
        <w:t>2. 交货地点：采购单位指定地点。</w:t>
      </w:r>
    </w:p>
    <w:p>
      <w:pPr>
        <w:spacing w:line="400" w:lineRule="exact"/>
        <w:rPr>
          <w:rStyle w:val="17"/>
          <w:rFonts w:ascii="仿宋_GB2312" w:hAnsi="宋体" w:eastAsia="仿宋_GB2312"/>
          <w:bCs/>
          <w:sz w:val="28"/>
          <w:szCs w:val="28"/>
        </w:rPr>
      </w:pPr>
      <w:r>
        <w:rPr>
          <w:rStyle w:val="17"/>
          <w:rFonts w:ascii="仿宋_GB2312" w:hAnsi="宋体" w:eastAsia="仿宋_GB2312"/>
          <w:bCs/>
          <w:sz w:val="28"/>
          <w:szCs w:val="28"/>
        </w:rPr>
        <w:t xml:space="preserve">    （四）采购标的需满足的服务标准、期限、效率等要求：</w:t>
      </w:r>
    </w:p>
    <w:p>
      <w:pPr>
        <w:ind w:firstLine="560" w:firstLineChars="200"/>
        <w:rPr>
          <w:rStyle w:val="17"/>
          <w:rFonts w:ascii="宋体" w:hAnsi="宋体"/>
          <w:sz w:val="28"/>
          <w:szCs w:val="28"/>
        </w:rPr>
      </w:pPr>
      <w:r>
        <w:rPr>
          <w:rStyle w:val="17"/>
          <w:rFonts w:ascii="宋体" w:hAnsi="宋体"/>
          <w:sz w:val="28"/>
          <w:szCs w:val="28"/>
        </w:rPr>
        <w:t>1. 中标人应按照国家有关法律法规规章和“三包”规定以及合同所附的“服务承诺”提供服务。</w:t>
      </w:r>
    </w:p>
    <w:p>
      <w:pPr>
        <w:ind w:firstLine="560" w:firstLineChars="200"/>
        <w:rPr>
          <w:rStyle w:val="17"/>
          <w:rFonts w:ascii="宋体" w:hAnsi="宋体"/>
          <w:sz w:val="28"/>
          <w:szCs w:val="28"/>
        </w:rPr>
      </w:pPr>
      <w:r>
        <w:rPr>
          <w:rStyle w:val="17"/>
          <w:rFonts w:ascii="宋体" w:hAnsi="宋体"/>
          <w:sz w:val="28"/>
          <w:szCs w:val="28"/>
        </w:rPr>
        <w:t>2. 除前款规定外，中标人还应提供下列服务：</w:t>
      </w:r>
    </w:p>
    <w:p>
      <w:pPr>
        <w:ind w:firstLine="560" w:firstLineChars="200"/>
        <w:rPr>
          <w:rStyle w:val="17"/>
          <w:rFonts w:ascii="宋体" w:hAnsi="宋体"/>
          <w:sz w:val="28"/>
          <w:szCs w:val="28"/>
        </w:rPr>
      </w:pPr>
      <w:r>
        <w:rPr>
          <w:rStyle w:val="17"/>
          <w:rFonts w:ascii="宋体" w:hAnsi="宋体"/>
          <w:sz w:val="28"/>
          <w:szCs w:val="28"/>
        </w:rPr>
        <w:t>（1）货物的现场安装、调试和/或启动监督；</w:t>
      </w:r>
    </w:p>
    <w:p>
      <w:pPr>
        <w:ind w:firstLine="560" w:firstLineChars="200"/>
        <w:rPr>
          <w:rStyle w:val="17"/>
          <w:rFonts w:ascii="宋体" w:hAnsi="宋体"/>
          <w:sz w:val="28"/>
          <w:szCs w:val="28"/>
        </w:rPr>
      </w:pPr>
      <w:r>
        <w:rPr>
          <w:rStyle w:val="17"/>
          <w:rFonts w:ascii="宋体" w:hAnsi="宋体"/>
          <w:sz w:val="28"/>
          <w:szCs w:val="28"/>
        </w:rPr>
        <w:t>（2）就货物的安装、启动、运行及维护等对采购单位人员进行免费培训。</w:t>
      </w:r>
    </w:p>
    <w:p>
      <w:pPr>
        <w:spacing w:line="480" w:lineRule="exact"/>
        <w:ind w:left="1" w:firstLine="557" w:firstLineChars="199"/>
        <w:jc w:val="left"/>
        <w:rPr>
          <w:rStyle w:val="17"/>
          <w:rFonts w:ascii="宋体" w:hAnsi="宋体"/>
          <w:sz w:val="28"/>
          <w:szCs w:val="28"/>
        </w:rPr>
      </w:pPr>
      <w:r>
        <w:rPr>
          <w:rStyle w:val="17"/>
          <w:rFonts w:ascii="宋体" w:hAnsi="宋体"/>
          <w:sz w:val="28"/>
          <w:szCs w:val="28"/>
        </w:rPr>
        <w:t xml:space="preserve">3. 除询价文件中的相关伴随服务或售后服务承诺外，双方还作如下约定：        </w:t>
      </w:r>
    </w:p>
    <w:p>
      <w:pPr>
        <w:spacing w:line="480" w:lineRule="exact"/>
        <w:ind w:left="1" w:firstLine="557" w:firstLineChars="199"/>
        <w:jc w:val="left"/>
        <w:rPr>
          <w:rStyle w:val="17"/>
          <w:rFonts w:ascii="宋体" w:hAnsi="宋体"/>
          <w:sz w:val="28"/>
          <w:szCs w:val="28"/>
        </w:rPr>
      </w:pPr>
      <w:r>
        <w:rPr>
          <w:rStyle w:val="17"/>
          <w:rFonts w:ascii="宋体" w:hAnsi="宋体"/>
          <w:sz w:val="28"/>
          <w:szCs w:val="28"/>
        </w:rPr>
        <w:t>（1）为确保所投产品质量和功能完整性，满足检察院办公要求，中标人应在评标结束后3日内在签订合同前提供所投产品品牌以下材料供采购方审核和技术验证：在签订合同前，逾期提供或者以上材料不全或检测报告不符合参数指标不能完全满足采购要求，虚假应标的不予签订合同取消中标资格，并作相关处罚。</w:t>
      </w:r>
    </w:p>
    <w:p>
      <w:pPr>
        <w:ind w:firstLine="560" w:firstLineChars="200"/>
        <w:rPr>
          <w:rStyle w:val="17"/>
          <w:rFonts w:ascii="宋体" w:hAnsi="宋体"/>
          <w:sz w:val="28"/>
          <w:szCs w:val="28"/>
        </w:rPr>
      </w:pPr>
      <w:r>
        <w:rPr>
          <w:rStyle w:val="17"/>
          <w:rFonts w:ascii="宋体" w:hAnsi="宋体"/>
          <w:sz w:val="28"/>
          <w:szCs w:val="28"/>
        </w:rPr>
        <w:t>（2）中标人应为采购单位提供免费培训服务，并指派专人负责与采购单位联系售后服务事宜。主要培训内容为货物的基本结构、性能、主要部件的构造及处理，日常使用操作、保养与管理、常见故障的排除、紧急情况的处理等，如采购单位未使用过同类型货物，中标人还需就货物的功能对采购单位人员进行相应的技术培训，培训地点主要在货物安装现场或由采购单位安排。</w:t>
      </w:r>
    </w:p>
    <w:p>
      <w:pPr>
        <w:ind w:firstLine="560" w:firstLineChars="200"/>
        <w:rPr>
          <w:rStyle w:val="17"/>
          <w:rFonts w:ascii="宋体" w:hAnsi="宋体"/>
          <w:sz w:val="28"/>
          <w:szCs w:val="28"/>
        </w:rPr>
      </w:pPr>
      <w:r>
        <w:rPr>
          <w:rStyle w:val="17"/>
          <w:rFonts w:ascii="宋体" w:hAnsi="宋体"/>
          <w:sz w:val="28"/>
          <w:szCs w:val="28"/>
        </w:rPr>
        <w:t>（3）保修期内，中标人负责对其提供的货物整机进行维修和系统维护，不再收取任何费用，但不可抗力（如火灾、雷击等）造成的故障除外。</w:t>
      </w:r>
    </w:p>
    <w:p>
      <w:pPr>
        <w:ind w:firstLine="560" w:firstLineChars="200"/>
        <w:rPr>
          <w:rStyle w:val="17"/>
          <w:rFonts w:ascii="宋体" w:hAnsi="宋体"/>
          <w:sz w:val="28"/>
          <w:szCs w:val="28"/>
        </w:rPr>
      </w:pPr>
      <w:r>
        <w:rPr>
          <w:rStyle w:val="17"/>
          <w:rFonts w:ascii="宋体" w:hAnsi="宋体"/>
          <w:sz w:val="28"/>
          <w:szCs w:val="28"/>
        </w:rPr>
        <w:t>（4）若货物故障在检修7天后仍无法排除，中标人应免费提供不低于故障货物规格型号档次的备用货物供采购单位使用，直至故障货物修复，如因此给采购单位造成损失，中标人应负责赔偿。</w:t>
      </w:r>
    </w:p>
    <w:p>
      <w:pPr>
        <w:ind w:firstLine="560" w:firstLineChars="200"/>
        <w:rPr>
          <w:rStyle w:val="17"/>
          <w:rFonts w:ascii="宋体" w:hAnsi="宋体"/>
          <w:sz w:val="28"/>
          <w:szCs w:val="28"/>
        </w:rPr>
      </w:pPr>
      <w:r>
        <w:rPr>
          <w:rStyle w:val="17"/>
          <w:rFonts w:ascii="宋体" w:hAnsi="宋体"/>
          <w:sz w:val="28"/>
          <w:szCs w:val="28"/>
        </w:rPr>
        <w:t>在合同货物保修期内，如果由于中标人更换、修理和续补货物，而造成本合同货物不得不停止运行，货物保修期应依照停止运行的实际时间加以延长，如因此给采购单位造成损失，中标人应负责赔偿。</w:t>
      </w:r>
    </w:p>
    <w:p>
      <w:pPr>
        <w:spacing w:line="300" w:lineRule="auto"/>
        <w:ind w:firstLine="560" w:firstLineChars="200"/>
        <w:rPr>
          <w:rStyle w:val="17"/>
          <w:rFonts w:ascii="宋体" w:hAnsi="宋体"/>
          <w:sz w:val="28"/>
          <w:szCs w:val="28"/>
        </w:rPr>
      </w:pPr>
      <w:r>
        <w:rPr>
          <w:rStyle w:val="17"/>
          <w:rFonts w:ascii="宋体" w:hAnsi="宋体"/>
          <w:sz w:val="28"/>
          <w:szCs w:val="28"/>
        </w:rPr>
        <w:t>（5）所有货物保修服务方式均为中标人上门保修，即由中标人派员到货物使用现场维修，由此产生的一切费用均由中标人承担。如中标人在接到采购单位通知后不到场，则采购单位有权聘请其他技术人员到场进行技术支持，相关费用由中标人承担。</w:t>
      </w:r>
    </w:p>
    <w:p>
      <w:pPr>
        <w:spacing w:line="300" w:lineRule="auto"/>
        <w:rPr>
          <w:rStyle w:val="17"/>
          <w:rFonts w:ascii="宋体" w:hAnsi="宋体"/>
          <w:sz w:val="28"/>
          <w:szCs w:val="28"/>
        </w:rPr>
      </w:pPr>
      <w:r>
        <w:rPr>
          <w:rStyle w:val="17"/>
          <w:rFonts w:ascii="宋体" w:hAnsi="宋体"/>
          <w:sz w:val="28"/>
          <w:szCs w:val="28"/>
        </w:rPr>
        <w:t xml:space="preserve">  （五）</w:t>
      </w:r>
      <w:r>
        <w:rPr>
          <w:rStyle w:val="17"/>
          <w:rFonts w:ascii="仿宋_GB2312" w:hAnsi="宋体" w:eastAsia="仿宋_GB2312"/>
          <w:bCs/>
          <w:sz w:val="28"/>
          <w:szCs w:val="28"/>
        </w:rPr>
        <w:t>采购标的验收标准：</w:t>
      </w:r>
    </w:p>
    <w:p>
      <w:pPr>
        <w:spacing w:line="300" w:lineRule="auto"/>
        <w:ind w:firstLine="560" w:firstLineChars="200"/>
        <w:rPr>
          <w:rStyle w:val="17"/>
          <w:rFonts w:ascii="宋体" w:hAnsi="宋体"/>
          <w:sz w:val="28"/>
          <w:szCs w:val="28"/>
        </w:rPr>
      </w:pPr>
      <w:r>
        <w:rPr>
          <w:rStyle w:val="17"/>
          <w:rFonts w:ascii="宋体" w:hAnsi="宋体"/>
          <w:sz w:val="28"/>
          <w:szCs w:val="28"/>
        </w:rPr>
        <w:t>采购人按照询价文件要求进行验收。</w:t>
      </w:r>
    </w:p>
    <w:p>
      <w:pPr>
        <w:spacing w:line="480" w:lineRule="exact"/>
        <w:ind w:firstLine="280" w:firstLineChars="100"/>
        <w:rPr>
          <w:rStyle w:val="17"/>
          <w:rFonts w:ascii="仿宋_GB2312" w:hAnsi="宋体" w:eastAsia="仿宋_GB2312"/>
          <w:bCs/>
          <w:sz w:val="28"/>
          <w:szCs w:val="28"/>
        </w:rPr>
      </w:pPr>
      <w:r>
        <w:rPr>
          <w:rStyle w:val="17"/>
          <w:rFonts w:ascii="宋体" w:hAnsi="宋体"/>
          <w:sz w:val="28"/>
          <w:szCs w:val="28"/>
        </w:rPr>
        <w:t>（六）</w:t>
      </w:r>
      <w:r>
        <w:rPr>
          <w:rStyle w:val="17"/>
          <w:rFonts w:ascii="仿宋_GB2312" w:hAnsi="宋体" w:eastAsia="仿宋_GB2312"/>
          <w:bCs/>
          <w:sz w:val="28"/>
          <w:szCs w:val="28"/>
        </w:rPr>
        <w:t>采购标的其他技术、服务等要求：</w:t>
      </w:r>
    </w:p>
    <w:p>
      <w:pPr>
        <w:spacing w:line="480" w:lineRule="exact"/>
        <w:ind w:firstLine="560" w:firstLineChars="200"/>
        <w:rPr>
          <w:rStyle w:val="17"/>
          <w:rFonts w:ascii="宋体" w:hAnsi="宋体"/>
          <w:sz w:val="28"/>
          <w:szCs w:val="28"/>
        </w:rPr>
      </w:pPr>
      <w:r>
        <w:rPr>
          <w:rStyle w:val="17"/>
          <w:rFonts w:ascii="宋体" w:hAnsi="宋体"/>
          <w:sz w:val="28"/>
          <w:szCs w:val="28"/>
        </w:rPr>
        <w:t>1、合同货物保修期届满后，中标人保证继续为采购单位提供货物的维修服务，采购单位应按卖方提供的优惠价格向中标人支付相关费用，中标人保证在合同货物使用期内以不高于本合同货物和相关配件的价格向采购单位提供备品备件。</w:t>
      </w:r>
    </w:p>
    <w:p>
      <w:pPr>
        <w:spacing w:line="480" w:lineRule="exact"/>
        <w:ind w:firstLine="560" w:firstLineChars="200"/>
        <w:rPr>
          <w:rStyle w:val="17"/>
          <w:rFonts w:ascii="宋体" w:hAnsi="宋体"/>
          <w:sz w:val="28"/>
          <w:szCs w:val="28"/>
        </w:rPr>
      </w:pPr>
      <w:r>
        <w:rPr>
          <w:rStyle w:val="17"/>
          <w:rFonts w:ascii="宋体" w:hAnsi="宋体"/>
          <w:sz w:val="28"/>
          <w:szCs w:val="28"/>
        </w:rPr>
        <w:t>2、中标单位与采购人签订合同。</w:t>
      </w:r>
    </w:p>
    <w:p>
      <w:pPr>
        <w:snapToGrid w:val="0"/>
        <w:spacing w:line="480" w:lineRule="exact"/>
        <w:ind w:firstLine="570"/>
        <w:rPr>
          <w:rStyle w:val="17"/>
          <w:rFonts w:ascii="宋体" w:hAnsi="宋体"/>
          <w:sz w:val="28"/>
          <w:szCs w:val="28"/>
        </w:rPr>
      </w:pPr>
      <w:r>
        <w:rPr>
          <w:rStyle w:val="17"/>
          <w:rFonts w:ascii="宋体" w:hAnsi="宋体"/>
          <w:sz w:val="28"/>
          <w:szCs w:val="28"/>
        </w:rPr>
        <w:t>3、质保要求：供应商报价时须承诺所供货物的免费质保期为</w:t>
      </w:r>
      <w:r>
        <w:rPr>
          <w:rStyle w:val="17"/>
          <w:rFonts w:ascii="宋体" w:hAnsi="宋体"/>
          <w:sz w:val="28"/>
          <w:szCs w:val="28"/>
          <w:u w:val="single" w:color="000000"/>
        </w:rPr>
        <w:t xml:space="preserve"> 3 </w:t>
      </w:r>
      <w:r>
        <w:rPr>
          <w:rStyle w:val="17"/>
          <w:rFonts w:ascii="宋体" w:hAnsi="宋体"/>
          <w:sz w:val="28"/>
          <w:szCs w:val="28"/>
        </w:rPr>
        <w:t>年。质保期自设备完成安装交付并验收合格完毕之日起计算。</w:t>
      </w:r>
    </w:p>
    <w:p>
      <w:pPr>
        <w:snapToGrid w:val="0"/>
        <w:spacing w:line="480" w:lineRule="exact"/>
        <w:ind w:firstLine="560" w:firstLineChars="200"/>
        <w:rPr>
          <w:rStyle w:val="17"/>
          <w:rFonts w:ascii="宋体" w:hAnsi="宋体"/>
          <w:sz w:val="28"/>
          <w:szCs w:val="28"/>
        </w:rPr>
      </w:pPr>
      <w:r>
        <w:rPr>
          <w:rStyle w:val="17"/>
          <w:rFonts w:ascii="宋体" w:hAnsi="宋体"/>
          <w:sz w:val="28"/>
          <w:szCs w:val="28"/>
        </w:rPr>
        <w:t>4、售后服务要求：</w:t>
      </w:r>
    </w:p>
    <w:p>
      <w:pPr>
        <w:snapToGrid w:val="0"/>
        <w:spacing w:line="480" w:lineRule="exact"/>
        <w:ind w:firstLine="560" w:firstLineChars="200"/>
        <w:rPr>
          <w:rStyle w:val="17"/>
          <w:rFonts w:ascii="宋体" w:hAnsi="宋体"/>
          <w:sz w:val="28"/>
          <w:szCs w:val="28"/>
        </w:rPr>
      </w:pPr>
      <w:r>
        <w:rPr>
          <w:rStyle w:val="17"/>
          <w:rFonts w:ascii="宋体" w:hAnsi="宋体"/>
          <w:sz w:val="28"/>
          <w:szCs w:val="28"/>
        </w:rPr>
        <w:t>①在质保期内，同一商品、同一质量问题连续两次维修仍无法正常使用，供应商无条件给予全套更新或退货。</w:t>
      </w:r>
    </w:p>
    <w:p>
      <w:pPr>
        <w:spacing w:line="480" w:lineRule="exact"/>
        <w:ind w:firstLine="560" w:firstLineChars="200"/>
        <w:rPr>
          <w:rStyle w:val="17"/>
          <w:rFonts w:ascii="宋体" w:hAnsi="宋体"/>
          <w:sz w:val="28"/>
          <w:szCs w:val="28"/>
        </w:rPr>
      </w:pPr>
      <w:r>
        <w:rPr>
          <w:rStyle w:val="17"/>
          <w:rFonts w:ascii="宋体" w:hAnsi="宋体"/>
          <w:sz w:val="28"/>
          <w:szCs w:val="28"/>
        </w:rPr>
        <w:t>②在免费质保期内，供应商在接到用户单位电话通知后，须在3小时内到场维修，并在12小时内负责维修完毕。如需更换货物或送修，必须在24小时内提供备用货物，并在3个工作日内负责维修完毕。</w:t>
      </w:r>
    </w:p>
    <w:p>
      <w:pPr>
        <w:spacing w:line="480" w:lineRule="exact"/>
        <w:ind w:firstLine="560" w:firstLineChars="200"/>
        <w:rPr>
          <w:rStyle w:val="17"/>
          <w:rFonts w:ascii="宋体" w:hAnsi="宋体"/>
          <w:sz w:val="28"/>
          <w:szCs w:val="28"/>
        </w:rPr>
      </w:pPr>
      <w:r>
        <w:rPr>
          <w:rStyle w:val="17"/>
          <w:rFonts w:ascii="宋体" w:hAnsi="宋体"/>
          <w:sz w:val="28"/>
          <w:szCs w:val="28"/>
        </w:rPr>
        <w:t>③设备保质期内实行质量三包，免费为用户提供易损件并及时派有关人员为用户更换，更换后的部件质保期自更换之日起重新计算，期限按询价时承诺的年限。</w:t>
      </w:r>
    </w:p>
    <w:p>
      <w:pPr>
        <w:spacing w:line="480" w:lineRule="exact"/>
        <w:ind w:firstLine="560" w:firstLineChars="200"/>
        <w:rPr>
          <w:rStyle w:val="17"/>
          <w:rFonts w:ascii="仿宋_GB2312" w:hAnsi="宋体" w:eastAsia="仿宋_GB2312"/>
          <w:bCs/>
          <w:sz w:val="28"/>
          <w:szCs w:val="28"/>
        </w:rPr>
      </w:pPr>
      <w:r>
        <w:rPr>
          <w:rStyle w:val="17"/>
          <w:rFonts w:ascii="仿宋_GB2312" w:hAnsi="宋体" w:eastAsia="仿宋_GB2312"/>
          <w:bCs/>
          <w:sz w:val="28"/>
          <w:szCs w:val="28"/>
        </w:rPr>
        <w:t>六、付款条件：</w:t>
      </w:r>
    </w:p>
    <w:p>
      <w:pPr>
        <w:spacing w:line="480" w:lineRule="exact"/>
        <w:ind w:firstLine="560" w:firstLineChars="200"/>
        <w:rPr>
          <w:rStyle w:val="17"/>
          <w:rFonts w:ascii="宋体" w:hAnsi="宋体"/>
          <w:sz w:val="28"/>
          <w:szCs w:val="28"/>
        </w:rPr>
      </w:pPr>
      <w:r>
        <w:rPr>
          <w:rStyle w:val="17"/>
          <w:rFonts w:ascii="宋体" w:hAnsi="宋体"/>
          <w:sz w:val="28"/>
          <w:szCs w:val="28"/>
        </w:rPr>
        <w:t>合同签订后，中标方将货物运送到采购方指定地点，且安装、调试、培训到位，并经验收通过合格后，采购方全额支付合同价款。</w:t>
      </w:r>
    </w:p>
    <w:p>
      <w:pPr>
        <w:spacing w:line="400" w:lineRule="exact"/>
        <w:ind w:firstLine="560" w:firstLineChars="200"/>
        <w:rPr>
          <w:rStyle w:val="17"/>
          <w:rFonts w:ascii="仿宋_GB2312" w:hAnsi="宋体" w:eastAsia="仿宋_GB2312"/>
          <w:bCs/>
          <w:sz w:val="28"/>
          <w:szCs w:val="28"/>
        </w:rPr>
      </w:pPr>
    </w:p>
    <w:p>
      <w:pPr>
        <w:snapToGrid w:val="0"/>
        <w:spacing w:line="360" w:lineRule="auto"/>
        <w:jc w:val="center"/>
        <w:rPr>
          <w:rStyle w:val="17"/>
          <w:rFonts w:ascii="宋体" w:hAnsi="宋体"/>
          <w:b/>
          <w:sz w:val="36"/>
          <w:szCs w:val="36"/>
        </w:rPr>
      </w:pPr>
      <w:r>
        <w:rPr>
          <w:rStyle w:val="17"/>
          <w:rFonts w:ascii="宋体" w:hAnsi="宋体"/>
          <w:b/>
          <w:sz w:val="36"/>
          <w:szCs w:val="36"/>
        </w:rPr>
        <w:t>第四部分  开标和评标</w:t>
      </w:r>
    </w:p>
    <w:p>
      <w:pPr>
        <w:snapToGrid w:val="0"/>
        <w:spacing w:line="360" w:lineRule="auto"/>
        <w:ind w:firstLine="570"/>
        <w:rPr>
          <w:rStyle w:val="17"/>
          <w:rFonts w:ascii="宋体" w:hAnsi="宋体"/>
          <w:b/>
          <w:bCs/>
          <w:sz w:val="28"/>
          <w:szCs w:val="28"/>
        </w:rPr>
      </w:pPr>
      <w:r>
        <w:rPr>
          <w:rStyle w:val="17"/>
          <w:rFonts w:ascii="宋体" w:hAnsi="宋体"/>
          <w:b/>
          <w:bCs/>
          <w:sz w:val="28"/>
          <w:szCs w:val="28"/>
        </w:rPr>
        <w:t>一、评委会由有关专家和</w:t>
      </w:r>
      <w:r>
        <w:rPr>
          <w:rStyle w:val="17"/>
          <w:rFonts w:ascii="宋体" w:hAnsi="宋体"/>
          <w:b/>
          <w:sz w:val="28"/>
          <w:szCs w:val="28"/>
        </w:rPr>
        <w:t>采购人代表</w:t>
      </w:r>
      <w:r>
        <w:rPr>
          <w:rStyle w:val="17"/>
          <w:rFonts w:ascii="宋体" w:hAnsi="宋体"/>
          <w:b/>
          <w:bCs/>
          <w:sz w:val="28"/>
          <w:szCs w:val="28"/>
        </w:rPr>
        <w:t>组成</w:t>
      </w:r>
      <w:r>
        <w:rPr>
          <w:rStyle w:val="17"/>
          <w:rFonts w:ascii="宋体" w:hAnsi="宋体"/>
          <w:b/>
          <w:sz w:val="28"/>
          <w:szCs w:val="28"/>
        </w:rPr>
        <w:t>，按照</w:t>
      </w:r>
      <w:r>
        <w:rPr>
          <w:rStyle w:val="17"/>
          <w:rFonts w:ascii="宋体" w:hAnsi="宋体"/>
          <w:b/>
          <w:bCs/>
          <w:sz w:val="28"/>
          <w:szCs w:val="28"/>
        </w:rPr>
        <w:t>公平、公正、择优的原则进行</w:t>
      </w:r>
      <w:r>
        <w:rPr>
          <w:rStyle w:val="17"/>
          <w:rFonts w:ascii="宋体" w:hAnsi="宋体"/>
          <w:b/>
          <w:sz w:val="28"/>
          <w:szCs w:val="28"/>
        </w:rPr>
        <w:t>独立</w:t>
      </w:r>
      <w:r>
        <w:rPr>
          <w:rStyle w:val="17"/>
          <w:rFonts w:ascii="宋体" w:hAnsi="宋体"/>
          <w:b/>
          <w:bCs/>
          <w:sz w:val="28"/>
          <w:szCs w:val="28"/>
        </w:rPr>
        <w:t>评标。</w:t>
      </w:r>
    </w:p>
    <w:p>
      <w:pPr>
        <w:snapToGrid w:val="0"/>
        <w:spacing w:line="360" w:lineRule="auto"/>
        <w:ind w:firstLine="570"/>
        <w:rPr>
          <w:rStyle w:val="17"/>
          <w:rFonts w:ascii="宋体" w:hAnsi="宋体"/>
          <w:bCs/>
          <w:sz w:val="28"/>
          <w:szCs w:val="28"/>
        </w:rPr>
      </w:pPr>
      <w:r>
        <w:rPr>
          <w:rStyle w:val="17"/>
          <w:rFonts w:ascii="宋体" w:hAnsi="宋体"/>
          <w:bCs/>
          <w:sz w:val="28"/>
          <w:szCs w:val="28"/>
        </w:rPr>
        <w:t>由采购人代表对询价人资格性、符合性审查，对未通过审查的供应商，应现场告知原因。评委会对合格供应商的询价文件进行评审。</w:t>
      </w:r>
    </w:p>
    <w:p>
      <w:pPr>
        <w:snapToGrid w:val="0"/>
        <w:spacing w:line="360" w:lineRule="auto"/>
        <w:ind w:firstLine="570"/>
        <w:rPr>
          <w:rStyle w:val="17"/>
          <w:rFonts w:ascii="宋体" w:hAnsi="宋体"/>
          <w:b/>
          <w:bCs/>
          <w:sz w:val="28"/>
          <w:szCs w:val="28"/>
        </w:rPr>
      </w:pPr>
      <w:r>
        <w:rPr>
          <w:rStyle w:val="17"/>
          <w:rFonts w:ascii="宋体" w:hAnsi="宋体"/>
          <w:b/>
          <w:bCs/>
          <w:sz w:val="28"/>
          <w:szCs w:val="28"/>
        </w:rPr>
        <w:t>（一）评审内容</w:t>
      </w:r>
    </w:p>
    <w:p>
      <w:pPr>
        <w:snapToGrid w:val="0"/>
        <w:spacing w:line="360" w:lineRule="auto"/>
        <w:ind w:firstLine="570"/>
        <w:rPr>
          <w:rStyle w:val="17"/>
          <w:rFonts w:ascii="宋体" w:hAnsi="宋体"/>
          <w:bCs/>
          <w:sz w:val="28"/>
          <w:szCs w:val="28"/>
        </w:rPr>
      </w:pPr>
      <w:r>
        <w:rPr>
          <w:rStyle w:val="17"/>
          <w:rFonts w:ascii="宋体" w:hAnsi="宋体"/>
          <w:bCs/>
          <w:sz w:val="28"/>
          <w:szCs w:val="28"/>
        </w:rPr>
        <w:t>1.询价资格是否符合（由采购人代表审查）;</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2.询价文件是否完整；</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3.询价文件是否恰当地签署；</w:t>
      </w:r>
    </w:p>
    <w:p>
      <w:pPr>
        <w:snapToGrid w:val="0"/>
        <w:spacing w:line="360" w:lineRule="auto"/>
        <w:ind w:firstLine="540"/>
        <w:rPr>
          <w:rStyle w:val="17"/>
          <w:rFonts w:ascii="宋体" w:hAnsi="宋体"/>
          <w:sz w:val="28"/>
          <w:szCs w:val="28"/>
        </w:rPr>
      </w:pPr>
      <w:r>
        <w:rPr>
          <w:rStyle w:val="17"/>
          <w:rFonts w:ascii="宋体" w:hAnsi="宋体"/>
          <w:sz w:val="28"/>
          <w:szCs w:val="28"/>
        </w:rPr>
        <w:t>4.是否作出实质性响应（是否有实质性响应，只根据询价文件本身，而不寻求外部证据）；</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5.是否有计算错误。</w:t>
      </w:r>
    </w:p>
    <w:p>
      <w:pPr>
        <w:snapToGrid w:val="0"/>
        <w:spacing w:line="360" w:lineRule="auto"/>
        <w:ind w:firstLine="562" w:firstLineChars="200"/>
        <w:rPr>
          <w:rStyle w:val="17"/>
          <w:rFonts w:ascii="宋体" w:hAnsi="宋体"/>
          <w:b/>
          <w:bCs/>
          <w:sz w:val="28"/>
          <w:szCs w:val="28"/>
        </w:rPr>
      </w:pPr>
      <w:r>
        <w:rPr>
          <w:rStyle w:val="17"/>
          <w:rFonts w:ascii="宋体" w:hAnsi="宋体"/>
          <w:b/>
          <w:bCs/>
          <w:sz w:val="28"/>
          <w:szCs w:val="28"/>
        </w:rPr>
        <w:t>（二）相应的规定</w:t>
      </w:r>
    </w:p>
    <w:p>
      <w:pPr>
        <w:snapToGrid w:val="0"/>
        <w:spacing w:line="360" w:lineRule="auto"/>
        <w:ind w:firstLine="560" w:firstLineChars="200"/>
        <w:rPr>
          <w:rStyle w:val="17"/>
          <w:rFonts w:ascii="宋体" w:hAnsi="宋体"/>
          <w:sz w:val="28"/>
          <w:szCs w:val="28"/>
        </w:rPr>
      </w:pPr>
      <w:r>
        <w:rPr>
          <w:rStyle w:val="17"/>
          <w:rFonts w:ascii="宋体" w:hAnsi="宋体"/>
          <w:bCs/>
          <w:sz w:val="28"/>
          <w:szCs w:val="28"/>
        </w:rPr>
        <w:t>1.</w:t>
      </w:r>
      <w:r>
        <w:rPr>
          <w:rStyle w:val="17"/>
          <w:rFonts w:ascii="宋体" w:hAnsi="宋体"/>
          <w:sz w:val="28"/>
          <w:szCs w:val="28"/>
        </w:rPr>
        <w:t>如果单价汇总金额与总价金额有出入，以单价金额计算结果为准；</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2.单价金额小数点有明显错位的，应以总价为准；</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3.若文件大写表示的数据与数字表示的有差别，以大写表示的数据为准；</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4.询价文件中开标一览表（报价表）内容与询价文件中其他内容不一致的，以开标一览表（报价表）为准。</w:t>
      </w:r>
    </w:p>
    <w:p>
      <w:pPr>
        <w:tabs>
          <w:tab w:val="left" w:pos="3585"/>
        </w:tabs>
        <w:snapToGrid w:val="0"/>
        <w:spacing w:line="360" w:lineRule="auto"/>
        <w:ind w:firstLine="562" w:firstLineChars="200"/>
        <w:rPr>
          <w:rStyle w:val="17"/>
          <w:rFonts w:ascii="宋体" w:hAnsi="宋体"/>
          <w:b/>
          <w:bCs/>
          <w:sz w:val="28"/>
          <w:szCs w:val="28"/>
        </w:rPr>
      </w:pPr>
      <w:r>
        <w:rPr>
          <w:rStyle w:val="17"/>
          <w:rFonts w:ascii="宋体" w:hAnsi="宋体"/>
          <w:b/>
          <w:bCs/>
          <w:sz w:val="28"/>
          <w:szCs w:val="28"/>
        </w:rPr>
        <w:t>三、</w:t>
      </w:r>
      <w:r>
        <w:rPr>
          <w:rStyle w:val="17"/>
          <w:rFonts w:ascii="宋体" w:hAnsi="宋体"/>
          <w:b/>
          <w:sz w:val="28"/>
          <w:szCs w:val="28"/>
        </w:rPr>
        <w:t>陈述、演示、</w:t>
      </w:r>
      <w:r>
        <w:rPr>
          <w:rStyle w:val="17"/>
          <w:rFonts w:ascii="宋体" w:hAnsi="宋体"/>
          <w:b/>
          <w:bCs/>
          <w:sz w:val="28"/>
          <w:szCs w:val="28"/>
        </w:rPr>
        <w:t>答疑、澄清</w:t>
      </w:r>
    </w:p>
    <w:p>
      <w:pPr>
        <w:snapToGrid w:val="0"/>
        <w:spacing w:line="360" w:lineRule="auto"/>
        <w:ind w:firstLine="570"/>
        <w:rPr>
          <w:rStyle w:val="17"/>
          <w:rFonts w:ascii="宋体" w:hAnsi="宋体"/>
          <w:b/>
          <w:sz w:val="28"/>
          <w:szCs w:val="28"/>
        </w:rPr>
      </w:pPr>
      <w:r>
        <w:rPr>
          <w:rStyle w:val="17"/>
          <w:rFonts w:ascii="宋体" w:hAnsi="宋体"/>
          <w:sz w:val="28"/>
          <w:szCs w:val="28"/>
        </w:rPr>
        <w:t>如评委会认为有必要，询价人按评委会的要求作陈述、演示、答疑及澄清其询价内容。时间由评委会掌握。</w:t>
      </w:r>
    </w:p>
    <w:p>
      <w:pPr>
        <w:snapToGrid w:val="0"/>
        <w:spacing w:line="360" w:lineRule="auto"/>
        <w:ind w:firstLine="570"/>
        <w:rPr>
          <w:rStyle w:val="17"/>
          <w:rFonts w:ascii="宋体" w:hAnsi="宋体"/>
          <w:sz w:val="28"/>
          <w:szCs w:val="28"/>
        </w:rPr>
      </w:pPr>
      <w:r>
        <w:rPr>
          <w:rStyle w:val="17"/>
          <w:rFonts w:ascii="宋体" w:hAnsi="宋体"/>
          <w:sz w:val="28"/>
          <w:szCs w:val="28"/>
        </w:rPr>
        <w:t>重要澄清答复应是书面的，但不得对询价内容进行实质性修改。</w:t>
      </w:r>
    </w:p>
    <w:p>
      <w:pPr>
        <w:snapToGrid w:val="0"/>
        <w:spacing w:line="360" w:lineRule="auto"/>
        <w:ind w:firstLine="570"/>
        <w:rPr>
          <w:rStyle w:val="17"/>
          <w:rFonts w:ascii="宋体" w:hAnsi="宋体"/>
          <w:b/>
          <w:sz w:val="28"/>
          <w:szCs w:val="28"/>
        </w:rPr>
      </w:pPr>
      <w:r>
        <w:rPr>
          <w:rStyle w:val="17"/>
          <w:rFonts w:ascii="宋体" w:hAnsi="宋体"/>
          <w:b/>
          <w:sz w:val="28"/>
          <w:szCs w:val="28"/>
        </w:rPr>
        <w:t>四、出现下列情形之一的，作无效询价处理;</w:t>
      </w:r>
    </w:p>
    <w:p>
      <w:pPr>
        <w:snapToGrid w:val="0"/>
        <w:spacing w:line="360" w:lineRule="auto"/>
        <w:ind w:firstLine="570"/>
        <w:rPr>
          <w:rStyle w:val="17"/>
          <w:rFonts w:ascii="宋体" w:hAnsi="宋体"/>
          <w:sz w:val="28"/>
          <w:szCs w:val="28"/>
        </w:rPr>
      </w:pPr>
      <w:r>
        <w:rPr>
          <w:rStyle w:val="17"/>
          <w:rFonts w:ascii="宋体" w:hAnsi="宋体"/>
          <w:sz w:val="28"/>
          <w:szCs w:val="28"/>
        </w:rPr>
        <w:t>1.未按照询价文件规定要求签署、签章的；</w:t>
      </w:r>
    </w:p>
    <w:p>
      <w:pPr>
        <w:snapToGrid w:val="0"/>
        <w:spacing w:line="360" w:lineRule="auto"/>
        <w:ind w:firstLine="570"/>
        <w:rPr>
          <w:rStyle w:val="17"/>
          <w:rFonts w:ascii="宋体" w:hAnsi="宋体"/>
          <w:sz w:val="28"/>
          <w:szCs w:val="28"/>
        </w:rPr>
      </w:pPr>
      <w:r>
        <w:rPr>
          <w:rStyle w:val="17"/>
          <w:rFonts w:ascii="宋体" w:hAnsi="宋体"/>
          <w:sz w:val="28"/>
          <w:szCs w:val="28"/>
        </w:rPr>
        <w:t>2.不具备询价文件中规定的资格要求的；</w:t>
      </w:r>
    </w:p>
    <w:p>
      <w:pPr>
        <w:snapToGrid w:val="0"/>
        <w:spacing w:line="360" w:lineRule="auto"/>
        <w:ind w:firstLine="570"/>
        <w:rPr>
          <w:rStyle w:val="17"/>
          <w:rFonts w:ascii="宋体" w:hAnsi="宋体"/>
          <w:sz w:val="28"/>
          <w:szCs w:val="28"/>
        </w:rPr>
      </w:pPr>
      <w:r>
        <w:rPr>
          <w:rStyle w:val="17"/>
          <w:rFonts w:ascii="宋体" w:hAnsi="宋体"/>
          <w:sz w:val="28"/>
          <w:szCs w:val="28"/>
        </w:rPr>
        <w:t>3.报价超过询价文件中规定的预算金额或者最高限价的；</w:t>
      </w:r>
    </w:p>
    <w:p>
      <w:pPr>
        <w:snapToGrid w:val="0"/>
        <w:spacing w:line="360" w:lineRule="auto"/>
        <w:ind w:firstLine="570"/>
        <w:rPr>
          <w:rStyle w:val="17"/>
          <w:rFonts w:ascii="宋体" w:hAnsi="宋体"/>
          <w:sz w:val="28"/>
          <w:szCs w:val="28"/>
        </w:rPr>
      </w:pPr>
      <w:r>
        <w:rPr>
          <w:rStyle w:val="17"/>
          <w:rFonts w:ascii="宋体" w:hAnsi="宋体"/>
          <w:sz w:val="28"/>
          <w:szCs w:val="28"/>
        </w:rPr>
        <w:t>4.询价文件含有采购人不能接受的附加条件的；</w:t>
      </w:r>
    </w:p>
    <w:p>
      <w:pPr>
        <w:snapToGrid w:val="0"/>
        <w:spacing w:line="360" w:lineRule="auto"/>
        <w:ind w:firstLine="570"/>
        <w:rPr>
          <w:rStyle w:val="17"/>
          <w:rFonts w:ascii="宋体" w:hAnsi="宋体"/>
          <w:b/>
          <w:bCs/>
          <w:sz w:val="28"/>
          <w:szCs w:val="28"/>
        </w:rPr>
      </w:pPr>
      <w:r>
        <w:rPr>
          <w:rStyle w:val="17"/>
          <w:rFonts w:ascii="宋体" w:hAnsi="宋体"/>
          <w:b/>
          <w:bCs/>
          <w:sz w:val="28"/>
          <w:szCs w:val="28"/>
        </w:rPr>
        <w:t>5.不同询价供应商询价文件制作机器码一致视为供应商串通询价，其询价无效，并同时移交政府采购监管部门按法律法规规定处理；</w:t>
      </w:r>
    </w:p>
    <w:p>
      <w:pPr>
        <w:snapToGrid w:val="0"/>
        <w:spacing w:line="360" w:lineRule="auto"/>
        <w:ind w:firstLine="570"/>
        <w:rPr>
          <w:rStyle w:val="17"/>
          <w:rFonts w:ascii="宋体" w:hAnsi="宋体"/>
          <w:sz w:val="28"/>
          <w:szCs w:val="28"/>
        </w:rPr>
      </w:pPr>
      <w:r>
        <w:rPr>
          <w:rStyle w:val="17"/>
          <w:rFonts w:ascii="宋体" w:hAnsi="宋体"/>
          <w:sz w:val="28"/>
          <w:szCs w:val="28"/>
        </w:rPr>
        <w:t>6.不符合法律、法规和询价文件中规定的其他实质性要求的。</w:t>
      </w:r>
    </w:p>
    <w:p>
      <w:pPr>
        <w:snapToGrid w:val="0"/>
        <w:spacing w:line="360" w:lineRule="auto"/>
        <w:ind w:firstLine="570"/>
        <w:rPr>
          <w:rStyle w:val="17"/>
          <w:rFonts w:ascii="宋体" w:hAnsi="宋体"/>
          <w:b/>
          <w:sz w:val="28"/>
          <w:szCs w:val="28"/>
        </w:rPr>
      </w:pPr>
      <w:r>
        <w:rPr>
          <w:rStyle w:val="17"/>
          <w:rFonts w:ascii="宋体" w:hAnsi="宋体"/>
          <w:b/>
          <w:sz w:val="28"/>
          <w:szCs w:val="28"/>
        </w:rPr>
        <w:t>五、出现下列情形之一的，作废标处理</w:t>
      </w:r>
    </w:p>
    <w:p>
      <w:pPr>
        <w:snapToGrid w:val="0"/>
        <w:spacing w:line="360" w:lineRule="auto"/>
        <w:ind w:firstLine="570"/>
        <w:rPr>
          <w:rStyle w:val="17"/>
          <w:rFonts w:ascii="宋体" w:hAnsi="宋体"/>
          <w:sz w:val="28"/>
          <w:szCs w:val="28"/>
        </w:rPr>
      </w:pPr>
      <w:r>
        <w:rPr>
          <w:rStyle w:val="17"/>
          <w:rFonts w:ascii="宋体" w:hAnsi="宋体"/>
          <w:sz w:val="28"/>
          <w:szCs w:val="28"/>
        </w:rPr>
        <w:t>1.符合专业条件的询价人或者对询价文件作实质响应的询价人不足3家的；</w:t>
      </w:r>
    </w:p>
    <w:p>
      <w:pPr>
        <w:snapToGrid w:val="0"/>
        <w:spacing w:line="360" w:lineRule="auto"/>
        <w:ind w:firstLine="555"/>
        <w:rPr>
          <w:rStyle w:val="17"/>
          <w:rFonts w:ascii="宋体" w:hAnsi="宋体"/>
          <w:sz w:val="28"/>
          <w:szCs w:val="28"/>
        </w:rPr>
      </w:pPr>
      <w:r>
        <w:rPr>
          <w:rStyle w:val="17"/>
          <w:rFonts w:ascii="宋体" w:hAnsi="宋体"/>
          <w:sz w:val="28"/>
          <w:szCs w:val="28"/>
        </w:rPr>
        <w:t>2.出现影响采购公正的违法违规行为的；</w:t>
      </w:r>
    </w:p>
    <w:p>
      <w:pPr>
        <w:snapToGrid w:val="0"/>
        <w:spacing w:line="360" w:lineRule="auto"/>
        <w:ind w:firstLine="555"/>
        <w:rPr>
          <w:rStyle w:val="17"/>
          <w:rFonts w:ascii="宋体" w:hAnsi="宋体"/>
          <w:sz w:val="28"/>
          <w:szCs w:val="28"/>
        </w:rPr>
      </w:pPr>
      <w:r>
        <w:rPr>
          <w:rStyle w:val="17"/>
          <w:rFonts w:ascii="宋体" w:hAnsi="宋体"/>
          <w:sz w:val="28"/>
          <w:szCs w:val="28"/>
        </w:rPr>
        <w:t>3.询价人的报价均超过了采购预算，采购人不能支付的；</w:t>
      </w:r>
    </w:p>
    <w:p>
      <w:pPr>
        <w:snapToGrid w:val="0"/>
        <w:spacing w:line="360" w:lineRule="auto"/>
        <w:ind w:firstLine="555"/>
        <w:rPr>
          <w:rStyle w:val="17"/>
          <w:rFonts w:ascii="宋体" w:hAnsi="宋体"/>
          <w:sz w:val="28"/>
          <w:szCs w:val="28"/>
        </w:rPr>
      </w:pPr>
      <w:r>
        <w:rPr>
          <w:rStyle w:val="17"/>
          <w:rFonts w:ascii="宋体" w:hAnsi="宋体"/>
          <w:sz w:val="28"/>
          <w:szCs w:val="28"/>
        </w:rPr>
        <w:t>4.因重大变故，采购任务取消的。</w:t>
      </w:r>
    </w:p>
    <w:p>
      <w:pPr>
        <w:snapToGrid w:val="0"/>
        <w:spacing w:line="360" w:lineRule="auto"/>
        <w:ind w:firstLine="555"/>
        <w:rPr>
          <w:rStyle w:val="17"/>
          <w:rFonts w:ascii="宋体" w:hAnsi="宋体"/>
          <w:sz w:val="28"/>
          <w:szCs w:val="28"/>
        </w:rPr>
      </w:pPr>
      <w:r>
        <w:rPr>
          <w:rStyle w:val="17"/>
          <w:rFonts w:ascii="宋体" w:hAnsi="宋体"/>
          <w:sz w:val="28"/>
          <w:szCs w:val="28"/>
        </w:rPr>
        <w:t>上述均保留评委会认定可以确定为无效询价或废标的其他情况。</w:t>
      </w:r>
    </w:p>
    <w:p>
      <w:pPr>
        <w:snapToGrid w:val="0"/>
        <w:spacing w:line="360" w:lineRule="auto"/>
        <w:ind w:firstLine="555"/>
        <w:rPr>
          <w:rStyle w:val="17"/>
          <w:rFonts w:ascii="宋体" w:hAnsi="宋体"/>
          <w:b/>
          <w:sz w:val="28"/>
          <w:szCs w:val="28"/>
        </w:rPr>
      </w:pPr>
      <w:r>
        <w:rPr>
          <w:rStyle w:val="17"/>
          <w:rFonts w:ascii="宋体" w:hAnsi="宋体"/>
          <w:b/>
          <w:sz w:val="28"/>
          <w:szCs w:val="28"/>
        </w:rPr>
        <w:t>六</w:t>
      </w:r>
      <w:r>
        <w:rPr>
          <w:rStyle w:val="17"/>
          <w:rFonts w:ascii="宋体" w:hAnsi="宋体"/>
          <w:sz w:val="28"/>
          <w:szCs w:val="28"/>
        </w:rPr>
        <w:t>、</w:t>
      </w:r>
      <w:r>
        <w:rPr>
          <w:rStyle w:val="17"/>
          <w:rFonts w:ascii="宋体" w:hAnsi="宋体"/>
          <w:b/>
          <w:sz w:val="28"/>
          <w:szCs w:val="28"/>
        </w:rPr>
        <w:t>变更为其他方式采购的情形</w:t>
      </w:r>
    </w:p>
    <w:p>
      <w:pPr>
        <w:snapToGrid w:val="0"/>
        <w:spacing w:line="360" w:lineRule="auto"/>
        <w:ind w:firstLine="560" w:firstLineChars="200"/>
        <w:rPr>
          <w:rStyle w:val="17"/>
          <w:rFonts w:ascii="宋体" w:hAnsi="宋体"/>
          <w:sz w:val="28"/>
          <w:szCs w:val="28"/>
          <w:lang w:val="zh-CN"/>
        </w:rPr>
      </w:pPr>
      <w:r>
        <w:rPr>
          <w:rStyle w:val="17"/>
          <w:rFonts w:ascii="宋体" w:hAnsi="宋体"/>
          <w:sz w:val="28"/>
          <w:szCs w:val="28"/>
        </w:rPr>
        <w:t>询价截止时间出现：参加询价的供应商不足3家的，及评标中出现符合专业条件的供应商或对询价文件作实质响应的询价人不足3家如下情形时，除采购任务取消外，采购人有权视情采取其他方式采购。</w:t>
      </w:r>
      <w:r>
        <w:rPr>
          <w:rStyle w:val="17"/>
          <w:rFonts w:ascii="宋体" w:hAnsi="宋体"/>
          <w:sz w:val="28"/>
          <w:szCs w:val="28"/>
          <w:lang w:val="zh-CN"/>
        </w:rPr>
        <w:t>本次询价文件中对供应商资质、技术等要求，将作为</w:t>
      </w:r>
      <w:r>
        <w:rPr>
          <w:rStyle w:val="17"/>
          <w:rFonts w:ascii="宋体" w:hAnsi="宋体"/>
          <w:sz w:val="28"/>
          <w:szCs w:val="28"/>
        </w:rPr>
        <w:t>其他</w:t>
      </w:r>
      <w:r>
        <w:rPr>
          <w:rStyle w:val="17"/>
          <w:rFonts w:ascii="宋体" w:hAnsi="宋体"/>
          <w:sz w:val="28"/>
          <w:szCs w:val="28"/>
          <w:lang w:val="zh-CN"/>
        </w:rPr>
        <w:t>方式采购的基本要求和依据。原已经参加询价并符合要求的供应商，根据自愿原则，参加</w:t>
      </w:r>
      <w:r>
        <w:rPr>
          <w:rStyle w:val="17"/>
          <w:rFonts w:ascii="宋体" w:hAnsi="宋体"/>
          <w:sz w:val="28"/>
          <w:szCs w:val="28"/>
        </w:rPr>
        <w:t>其他</w:t>
      </w:r>
      <w:r>
        <w:rPr>
          <w:rStyle w:val="17"/>
          <w:rFonts w:ascii="宋体" w:hAnsi="宋体"/>
          <w:sz w:val="28"/>
          <w:szCs w:val="28"/>
          <w:lang w:val="zh-CN"/>
        </w:rPr>
        <w:t>方式采购。</w:t>
      </w:r>
    </w:p>
    <w:p>
      <w:pPr>
        <w:pStyle w:val="56"/>
        <w:ind w:firstLine="562" w:firstLineChars="200"/>
        <w:jc w:val="both"/>
        <w:rPr>
          <w:rStyle w:val="17"/>
          <w:rFonts w:ascii="宋体" w:hAnsi="宋体"/>
          <w:b/>
          <w:bCs/>
          <w:kern w:val="2"/>
          <w:sz w:val="28"/>
          <w:szCs w:val="28"/>
        </w:rPr>
      </w:pPr>
      <w:r>
        <w:rPr>
          <w:rStyle w:val="17"/>
          <w:rFonts w:ascii="宋体" w:hAnsi="宋体"/>
          <w:b/>
          <w:bCs/>
          <w:kern w:val="2"/>
          <w:sz w:val="28"/>
          <w:szCs w:val="28"/>
        </w:rPr>
        <w:t>八、政府采购政策功能落实（如有此部分内容请上传至价格标部分，否则视为未提供）</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1.小微型企业价格扣除</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（1）本项目对小型和微型企业产品给予10%的扣除价格，用扣除后的价格参与评审。</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（2）供应商需按照采购文件的要求提供相应的《中小企业声明函》。</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（3）企业标准请参照《关于印发中小企业划型标准规定的通知》（工信部联企业[2011]300号）文件规定自行填写。</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2.残疾人福利单位价格扣除</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（1）本项目对残疾人福利性单位视同小型、微型企业，给予6%的价格扣除，用扣除后的价格参与评审。</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（2）残疾人福利单位需按照采购文件的要求提供《残疾人福利性单位声明函》。</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（3）残疾人福利单位标准请参照《关于促进残疾人就业政府采购政策的通知》（财库〔2017〕141号）。</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3.监狱和戒毒企业价格扣除</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（1）本项目对监狱和戒毒企业（简称监狱企业）视同小型、微型企业，给予6%的价格扣除，用扣除后的价格参与评审。</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（3）监狱企业标准请参照《关于政府采购支持监狱企业发展有关问题的通知》（财库[2014]68号）。</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4.残疾人福利单位、监狱企业属于小型、微型企业的，不重复享受政策。</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6.联合体各方均为小型、微型企业（残疾人福利单位、监狱企业）的，联合体享受6%价格扣除，用扣除后的价格参与评审。</w:t>
      </w:r>
    </w:p>
    <w:p>
      <w:pPr>
        <w:snapToGrid w:val="0"/>
        <w:spacing w:line="360" w:lineRule="auto"/>
        <w:ind w:firstLine="560" w:firstLineChars="200"/>
        <w:rPr>
          <w:rStyle w:val="17"/>
          <w:rFonts w:ascii="仿宋_GB2312" w:hAnsi="宋体" w:eastAsia="仿宋_GB2312"/>
          <w:sz w:val="28"/>
          <w:szCs w:val="28"/>
        </w:rPr>
      </w:pPr>
      <w:r>
        <w:rPr>
          <w:rStyle w:val="17"/>
          <w:rFonts w:ascii="仿宋_GB2312" w:hAnsi="宋体" w:eastAsia="仿宋_GB2312"/>
          <w:sz w:val="28"/>
          <w:szCs w:val="28"/>
        </w:rPr>
        <w:t>7.根据《江苏省政府采购信用管理暂行办法》的规定，对有失信行为的供应商将根据信用评价结果按规定予以扣分或价格加成。</w:t>
      </w:r>
    </w:p>
    <w:p>
      <w:pPr>
        <w:snapToGrid w:val="0"/>
        <w:spacing w:line="360" w:lineRule="auto"/>
        <w:ind w:firstLine="570"/>
        <w:rPr>
          <w:rStyle w:val="17"/>
          <w:rFonts w:ascii="宋体" w:hAnsi="宋体"/>
          <w:bCs/>
          <w:sz w:val="28"/>
          <w:szCs w:val="28"/>
        </w:rPr>
      </w:pPr>
      <w:r>
        <w:rPr>
          <w:rStyle w:val="17"/>
          <w:rFonts w:ascii="宋体" w:hAnsi="宋体"/>
          <w:b/>
          <w:sz w:val="28"/>
          <w:szCs w:val="28"/>
        </w:rPr>
        <w:t>九、中标人的确定</w:t>
      </w:r>
    </w:p>
    <w:p>
      <w:pPr>
        <w:snapToGrid w:val="0"/>
        <w:spacing w:line="360" w:lineRule="auto"/>
        <w:ind w:firstLine="570"/>
        <w:rPr>
          <w:rStyle w:val="17"/>
          <w:rFonts w:ascii="宋体" w:hAnsi="宋体"/>
          <w:bCs/>
          <w:sz w:val="28"/>
          <w:szCs w:val="28"/>
        </w:rPr>
      </w:pPr>
      <w:r>
        <w:rPr>
          <w:rStyle w:val="17"/>
          <w:rFonts w:ascii="宋体" w:hAnsi="宋体"/>
          <w:bCs/>
          <w:sz w:val="28"/>
          <w:szCs w:val="28"/>
        </w:rPr>
        <w:t>评委对中标供应商报价总表和明细表进行审核，应审核供应商询价报价是否前后一致、大小写金额是否一致、总价金额与单价汇总金额是否一致。对过高过低报价的并作为中标供应商的，应重点审核报价明细表有否重大重复报价或漏项报价等情况，一经发现，现场请中标供应商予以澄清，明显过错或不能澄清的，经超半数以上评委认定，有权取消供应商中标资格，以此类推确定中标供应商。</w:t>
      </w:r>
    </w:p>
    <w:p>
      <w:pPr>
        <w:snapToGrid w:val="0"/>
        <w:spacing w:line="360" w:lineRule="auto"/>
        <w:ind w:firstLine="570"/>
        <w:rPr>
          <w:rStyle w:val="17"/>
          <w:rFonts w:ascii="宋体" w:hAnsi="宋体"/>
          <w:bCs/>
          <w:sz w:val="28"/>
          <w:szCs w:val="28"/>
        </w:rPr>
      </w:pPr>
      <w:r>
        <w:rPr>
          <w:rStyle w:val="17"/>
          <w:rFonts w:ascii="宋体" w:hAnsi="宋体"/>
          <w:bCs/>
          <w:sz w:val="28"/>
          <w:szCs w:val="28"/>
        </w:rPr>
        <w:t>评委会认为询价人的报价明显低于其他通过符合性审查询价人的报价，有可能影响产品质量或者不能诚信履约的，应当要求其在合理的时间内提供书面说明，必要时提交相关证明材料；询价人不能证明其报价合理性的，评委会应当将其作为无效询价处理。</w:t>
      </w:r>
    </w:p>
    <w:p>
      <w:pPr>
        <w:snapToGrid w:val="0"/>
        <w:spacing w:line="360" w:lineRule="auto"/>
        <w:ind w:firstLine="570"/>
        <w:rPr>
          <w:rStyle w:val="17"/>
          <w:rFonts w:ascii="宋体" w:hAnsi="宋体"/>
          <w:sz w:val="28"/>
          <w:szCs w:val="28"/>
        </w:rPr>
      </w:pPr>
      <w:r>
        <w:rPr>
          <w:rStyle w:val="17"/>
          <w:rFonts w:ascii="宋体" w:hAnsi="宋体"/>
          <w:sz w:val="28"/>
          <w:szCs w:val="28"/>
        </w:rPr>
        <w:t>评委会汇总各评委评分后，推荐得分最高的询价人为中标供应商。如出现相同最高分，按询价报价低的推荐为中标供应商；如得分且询价报价相同的，由评委会根据技术指标优劣，优者推荐为中标供应商。评委会写出评标报告。</w:t>
      </w:r>
    </w:p>
    <w:p>
      <w:pPr>
        <w:snapToGrid w:val="0"/>
        <w:spacing w:line="360" w:lineRule="auto"/>
        <w:ind w:firstLine="570"/>
        <w:rPr>
          <w:rStyle w:val="17"/>
          <w:rFonts w:ascii="宋体" w:hAnsi="宋体"/>
          <w:sz w:val="28"/>
          <w:szCs w:val="28"/>
        </w:rPr>
      </w:pPr>
      <w:r>
        <w:rPr>
          <w:rStyle w:val="17"/>
          <w:rFonts w:ascii="宋体" w:hAnsi="宋体"/>
          <w:sz w:val="28"/>
          <w:szCs w:val="28"/>
        </w:rPr>
        <w:t>提供相同品牌产品且通过资格审查、符合性审查的不同询价人参加同一合同项下询价的，按一家询价人计算，评审后得分最高的同品牌询价人获得中标人推荐资格；评审得分相同的，由采购人或者采购人委托评委会按照询价文件规定的方式确定一个询价人获得中标人推荐资格，询价文件未规定的采取随机抽取方式确定，其他同品牌询价人不作为中标候选人。</w:t>
      </w:r>
    </w:p>
    <w:p>
      <w:pPr>
        <w:snapToGrid w:val="0"/>
        <w:spacing w:line="360" w:lineRule="auto"/>
        <w:ind w:firstLine="570"/>
        <w:rPr>
          <w:rStyle w:val="17"/>
          <w:rFonts w:ascii="宋体" w:hAnsi="宋体"/>
          <w:sz w:val="28"/>
          <w:szCs w:val="28"/>
        </w:rPr>
      </w:pPr>
      <w:r>
        <w:rPr>
          <w:rStyle w:val="17"/>
          <w:rFonts w:ascii="宋体" w:hAnsi="宋体"/>
          <w:sz w:val="28"/>
          <w:szCs w:val="28"/>
        </w:rPr>
        <w:t>非单一产品采购项目，采购人应当根据采购项目技术构成、产品价格比重等合理确定核心产品，并在询价文件中载明。</w:t>
      </w:r>
    </w:p>
    <w:p>
      <w:pPr>
        <w:snapToGrid w:val="0"/>
        <w:spacing w:line="360" w:lineRule="auto"/>
        <w:ind w:firstLine="557" w:firstLineChars="198"/>
        <w:rPr>
          <w:rStyle w:val="17"/>
          <w:rFonts w:ascii="宋体" w:hAnsi="宋体"/>
          <w:b/>
          <w:sz w:val="28"/>
          <w:szCs w:val="28"/>
        </w:rPr>
      </w:pPr>
      <w:r>
        <w:rPr>
          <w:rStyle w:val="17"/>
          <w:rFonts w:ascii="宋体" w:hAnsi="宋体"/>
          <w:b/>
          <w:sz w:val="28"/>
          <w:szCs w:val="28"/>
        </w:rPr>
        <w:t>十、其他注意事项</w:t>
      </w:r>
    </w:p>
    <w:p>
      <w:pPr>
        <w:snapToGrid w:val="0"/>
        <w:spacing w:line="360" w:lineRule="auto"/>
        <w:ind w:firstLine="570"/>
        <w:rPr>
          <w:rStyle w:val="17"/>
          <w:rFonts w:ascii="宋体" w:hAnsi="宋体"/>
          <w:sz w:val="28"/>
          <w:szCs w:val="28"/>
        </w:rPr>
      </w:pPr>
      <w:r>
        <w:rPr>
          <w:rStyle w:val="17"/>
          <w:rFonts w:ascii="宋体" w:hAnsi="宋体"/>
          <w:sz w:val="28"/>
          <w:szCs w:val="28"/>
        </w:rPr>
        <w:t>1.在询价、开标时间，询价人不得向评委询问情况，不得进行旨在影响评标结果的活动。</w:t>
      </w:r>
    </w:p>
    <w:p>
      <w:pPr>
        <w:snapToGrid w:val="0"/>
        <w:spacing w:line="360" w:lineRule="auto"/>
        <w:ind w:firstLine="570"/>
        <w:rPr>
          <w:rStyle w:val="17"/>
          <w:rFonts w:ascii="宋体" w:hAnsi="宋体"/>
          <w:sz w:val="28"/>
          <w:szCs w:val="28"/>
        </w:rPr>
      </w:pPr>
      <w:r>
        <w:rPr>
          <w:rStyle w:val="17"/>
          <w:rFonts w:ascii="宋体" w:hAnsi="宋体"/>
          <w:sz w:val="28"/>
          <w:szCs w:val="28"/>
        </w:rPr>
        <w:t>2.评委会不得向询价人解释落标原因。</w:t>
      </w:r>
    </w:p>
    <w:p>
      <w:pPr>
        <w:snapToGrid w:val="0"/>
        <w:spacing w:line="360" w:lineRule="auto"/>
        <w:ind w:firstLine="570"/>
        <w:rPr>
          <w:rStyle w:val="17"/>
          <w:rFonts w:ascii="宋体" w:hAnsi="宋体"/>
          <w:sz w:val="28"/>
          <w:szCs w:val="28"/>
        </w:rPr>
      </w:pPr>
      <w:r>
        <w:rPr>
          <w:rStyle w:val="17"/>
          <w:rFonts w:ascii="宋体" w:hAnsi="宋体"/>
          <w:sz w:val="28"/>
          <w:szCs w:val="28"/>
        </w:rPr>
        <w:t>3.在询价、评标过程中，如果询价人联合故意抬高报价或出现其他不正当行为，询价人有权中止询价或评标。</w:t>
      </w:r>
    </w:p>
    <w:p>
      <w:pPr>
        <w:snapToGrid w:val="0"/>
        <w:spacing w:line="360" w:lineRule="auto"/>
        <w:ind w:firstLine="570"/>
        <w:rPr>
          <w:rStyle w:val="17"/>
          <w:rFonts w:ascii="宋体" w:hAnsi="宋体"/>
          <w:sz w:val="28"/>
          <w:szCs w:val="28"/>
        </w:rPr>
      </w:pPr>
      <w:r>
        <w:rPr>
          <w:rStyle w:val="17"/>
          <w:rFonts w:ascii="宋体" w:hAnsi="宋体"/>
          <w:sz w:val="28"/>
          <w:szCs w:val="28"/>
        </w:rPr>
        <w:t>4.凡在询价、开标过程中，询价人已提示是否异议的事项，询价人当时没有提出异议的，事后询价人不得针对上述事项提出质疑。比如：询价人在开标中提示评委是否回避，询价人现场未提出异议的，事后不得针对评委回避事项提出质疑。</w:t>
      </w:r>
    </w:p>
    <w:p>
      <w:pPr>
        <w:snapToGrid w:val="0"/>
        <w:spacing w:line="360" w:lineRule="auto"/>
        <w:ind w:firstLine="562" w:firstLineChars="200"/>
        <w:rPr>
          <w:rStyle w:val="17"/>
          <w:rFonts w:ascii="宋体" w:hAnsi="宋体"/>
          <w:b/>
          <w:sz w:val="28"/>
          <w:szCs w:val="28"/>
        </w:rPr>
      </w:pPr>
      <w:r>
        <w:rPr>
          <w:rStyle w:val="17"/>
          <w:rFonts w:ascii="宋体" w:hAnsi="宋体"/>
          <w:b/>
          <w:sz w:val="28"/>
          <w:szCs w:val="28"/>
        </w:rPr>
        <w:t>十一、中标通知</w:t>
      </w:r>
    </w:p>
    <w:p>
      <w:pPr>
        <w:snapToGrid w:val="0"/>
        <w:spacing w:line="360" w:lineRule="auto"/>
        <w:ind w:firstLine="570"/>
        <w:rPr>
          <w:rStyle w:val="17"/>
          <w:rFonts w:ascii="宋体" w:hAnsi="宋体"/>
          <w:sz w:val="28"/>
          <w:szCs w:val="28"/>
        </w:rPr>
      </w:pPr>
      <w:r>
        <w:rPr>
          <w:rStyle w:val="17"/>
          <w:rFonts w:ascii="宋体" w:hAnsi="宋体"/>
          <w:sz w:val="28"/>
          <w:szCs w:val="28"/>
        </w:rPr>
        <w:t>中标结果在南通市海门区人民法院网站公告，公告期限为1个工作日。《中标通知书》一经发出，如采购人改变中标结果，或者中标供应商放弃中标的，各自承担相应的法律责任。《中标通知书》是采购合同的组成部分。本中心同时向采购人出具项目进场交易证明。</w:t>
      </w:r>
    </w:p>
    <w:p>
      <w:pPr>
        <w:snapToGrid w:val="0"/>
        <w:spacing w:line="420" w:lineRule="exact"/>
        <w:rPr>
          <w:rStyle w:val="17"/>
          <w:rFonts w:ascii="宋体" w:hAnsi="宋体"/>
          <w:b/>
          <w:sz w:val="36"/>
          <w:szCs w:val="36"/>
        </w:rPr>
      </w:pPr>
    </w:p>
    <w:p>
      <w:pPr>
        <w:snapToGrid w:val="0"/>
        <w:spacing w:line="420" w:lineRule="exact"/>
        <w:jc w:val="center"/>
        <w:rPr>
          <w:rStyle w:val="17"/>
          <w:rFonts w:ascii="宋体" w:hAnsi="宋体"/>
          <w:b/>
          <w:sz w:val="36"/>
          <w:szCs w:val="36"/>
        </w:rPr>
      </w:pPr>
      <w:r>
        <w:rPr>
          <w:rStyle w:val="20"/>
        </w:rPr>
        <w:t>第五部分  合同签订与验收付款</w:t>
      </w:r>
    </w:p>
    <w:p>
      <w:pPr>
        <w:snapToGrid w:val="0"/>
        <w:spacing w:line="300" w:lineRule="auto"/>
        <w:rPr>
          <w:rStyle w:val="17"/>
          <w:rFonts w:ascii="宋体" w:hAnsi="宋体"/>
          <w:sz w:val="28"/>
          <w:szCs w:val="28"/>
        </w:rPr>
      </w:pPr>
    </w:p>
    <w:p>
      <w:pPr>
        <w:snapToGrid w:val="0"/>
        <w:spacing w:line="360" w:lineRule="auto"/>
        <w:ind w:firstLine="555"/>
        <w:rPr>
          <w:rStyle w:val="17"/>
          <w:rFonts w:ascii="宋体" w:hAnsi="宋体"/>
          <w:b/>
          <w:sz w:val="28"/>
          <w:szCs w:val="28"/>
        </w:rPr>
      </w:pPr>
      <w:r>
        <w:rPr>
          <w:rStyle w:val="17"/>
          <w:rFonts w:ascii="宋体" w:hAnsi="宋体"/>
          <w:b/>
          <w:sz w:val="28"/>
          <w:szCs w:val="28"/>
        </w:rPr>
        <w:t>合同格式请见南通公共资源交易平台“海门分中心-办事指南”。</w:t>
      </w:r>
    </w:p>
    <w:p>
      <w:pPr>
        <w:snapToGrid w:val="0"/>
        <w:spacing w:line="360" w:lineRule="auto"/>
        <w:ind w:firstLine="562" w:firstLineChars="200"/>
        <w:rPr>
          <w:rStyle w:val="17"/>
          <w:rFonts w:ascii="宋体" w:hAnsi="宋体"/>
          <w:sz w:val="28"/>
          <w:szCs w:val="28"/>
        </w:rPr>
      </w:pPr>
      <w:r>
        <w:rPr>
          <w:rStyle w:val="17"/>
          <w:rFonts w:ascii="宋体" w:hAnsi="宋体"/>
          <w:b/>
          <w:sz w:val="28"/>
          <w:szCs w:val="28"/>
        </w:rPr>
        <w:t>一</w:t>
      </w:r>
      <w:r>
        <w:rPr>
          <w:rStyle w:val="17"/>
          <w:rFonts w:ascii="宋体" w:hAnsi="宋体"/>
          <w:sz w:val="28"/>
          <w:szCs w:val="28"/>
        </w:rPr>
        <w:t>、中标供应商和采购单位在接到《中标通知书》后十五日内签订合同。合同签订后中标供应商方可履约，否则引起的一切后果由中标人自行承担。</w:t>
      </w:r>
      <w:r>
        <w:rPr>
          <w:rStyle w:val="17"/>
          <w:rFonts w:ascii="宋体" w:hAnsi="宋体"/>
          <w:sz w:val="28"/>
          <w:szCs w:val="28"/>
          <w:lang w:val="zh-CN"/>
        </w:rPr>
        <w:t>所签合同不得对采购文件作实质性修改</w:t>
      </w:r>
      <w:r>
        <w:rPr>
          <w:rStyle w:val="17"/>
          <w:rFonts w:ascii="宋体" w:hAnsi="宋体"/>
          <w:sz w:val="28"/>
          <w:szCs w:val="28"/>
        </w:rPr>
        <w:t>。采购单位不得向中标供应商提出不合理的要求作为签订合同的条件，不得与中标供应商私下订立背离采购文件实质性内容的协议。</w:t>
      </w:r>
    </w:p>
    <w:p>
      <w:pPr>
        <w:snapToGrid w:val="0"/>
        <w:spacing w:line="360" w:lineRule="auto"/>
        <w:ind w:firstLine="562" w:firstLineChars="200"/>
        <w:rPr>
          <w:rStyle w:val="17"/>
          <w:rFonts w:ascii="宋体" w:hAnsi="宋体"/>
          <w:sz w:val="28"/>
          <w:szCs w:val="28"/>
        </w:rPr>
      </w:pPr>
      <w:r>
        <w:rPr>
          <w:rStyle w:val="17"/>
          <w:rFonts w:ascii="宋体" w:hAnsi="宋体"/>
          <w:b/>
          <w:sz w:val="28"/>
          <w:szCs w:val="28"/>
        </w:rPr>
        <w:t>二</w:t>
      </w:r>
      <w:r>
        <w:rPr>
          <w:rStyle w:val="17"/>
          <w:rFonts w:ascii="宋体" w:hAnsi="宋体"/>
          <w:sz w:val="28"/>
          <w:szCs w:val="28"/>
        </w:rPr>
        <w:t>、采购单位按合同约定积极配合中标供应商履约，中标供应商履约到位后，请以书面形式向采购单位提出验收申请，采购单位接到申请后原则上在5个工作日内及时组织相关专业技术人员，必要时邀请询价人、质检等部门共同参与验收，并出具验收报告，验收合格的原则上5个工作日内支付相应款项。</w:t>
      </w:r>
    </w:p>
    <w:p>
      <w:pPr>
        <w:snapToGrid w:val="0"/>
        <w:spacing w:line="360" w:lineRule="auto"/>
        <w:ind w:firstLine="560" w:firstLineChars="200"/>
        <w:rPr>
          <w:rStyle w:val="17"/>
          <w:rFonts w:ascii="宋体" w:hAnsi="宋体"/>
          <w:sz w:val="28"/>
          <w:szCs w:val="28"/>
        </w:rPr>
      </w:pPr>
      <w:r>
        <w:rPr>
          <w:rStyle w:val="17"/>
          <w:rFonts w:ascii="宋体" w:hAnsi="宋体"/>
          <w:sz w:val="28"/>
          <w:szCs w:val="28"/>
        </w:rPr>
        <w:t>三、采购单位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pPr>
        <w:spacing w:line="360" w:lineRule="auto"/>
        <w:ind w:firstLine="560" w:firstLineChars="200"/>
        <w:rPr>
          <w:rStyle w:val="17"/>
          <w:rFonts w:ascii="宋体" w:hAnsi="宋体"/>
          <w:sz w:val="28"/>
          <w:szCs w:val="28"/>
        </w:rPr>
      </w:pPr>
      <w:r>
        <w:rPr>
          <w:rStyle w:val="17"/>
          <w:rFonts w:ascii="宋体" w:hAnsi="宋体"/>
          <w:sz w:val="28"/>
          <w:szCs w:val="28"/>
        </w:rPr>
        <w:t>四、中标供应商出现违约情形，应当及时纠正或补偿；造成损失的，按合同约定追究违约责任；发现有假冒、伪劣、走私产品、商业贿赂等违法情形的，应由采购单位移交工商、质监、公安等行政执法部门依法查处。</w:t>
      </w:r>
    </w:p>
    <w:p>
      <w:pPr>
        <w:snapToGrid w:val="0"/>
        <w:spacing w:line="400" w:lineRule="atLeast"/>
        <w:ind w:firstLine="723" w:firstLineChars="200"/>
        <w:jc w:val="center"/>
        <w:rPr>
          <w:rStyle w:val="17"/>
          <w:rFonts w:ascii="仿宋_GB2312" w:hAnsi="宋体" w:eastAsia="仿宋_GB2312"/>
          <w:b/>
          <w:sz w:val="36"/>
          <w:szCs w:val="36"/>
        </w:rPr>
      </w:pPr>
      <w:r>
        <w:rPr>
          <w:rStyle w:val="17"/>
          <w:rFonts w:ascii="仿宋_GB2312" w:hAnsi="宋体" w:eastAsia="仿宋_GB2312"/>
          <w:b/>
          <w:sz w:val="36"/>
          <w:szCs w:val="36"/>
        </w:rPr>
        <w:br w:type="textWrapping"/>
      </w:r>
    </w:p>
    <w:p>
      <w:pPr>
        <w:snapToGrid w:val="0"/>
        <w:spacing w:line="400" w:lineRule="atLeast"/>
        <w:ind w:firstLine="723" w:firstLineChars="200"/>
        <w:jc w:val="center"/>
        <w:rPr>
          <w:rStyle w:val="17"/>
          <w:rFonts w:hAnsi="宋体"/>
          <w:sz w:val="32"/>
          <w:szCs w:val="32"/>
        </w:rPr>
      </w:pPr>
      <w:r>
        <w:rPr>
          <w:rStyle w:val="17"/>
          <w:rFonts w:ascii="仿宋_GB2312" w:hAnsi="宋体" w:eastAsia="仿宋_GB2312"/>
          <w:b/>
          <w:sz w:val="36"/>
          <w:szCs w:val="36"/>
        </w:rPr>
        <w:t>第六部分  质疑提出和处理</w:t>
      </w:r>
    </w:p>
    <w:p>
      <w:pPr>
        <w:pStyle w:val="3"/>
        <w:snapToGrid w:val="0"/>
        <w:spacing w:line="400" w:lineRule="atLeast"/>
        <w:ind w:left="0" w:leftChars="0"/>
        <w:rPr>
          <w:rStyle w:val="17"/>
          <w:rFonts w:ascii="宋体" w:hAnsi="宋体"/>
          <w:sz w:val="28"/>
          <w:szCs w:val="28"/>
        </w:rPr>
      </w:pPr>
      <w:r>
        <w:rPr>
          <w:rStyle w:val="17"/>
          <w:rFonts w:ascii="宋体" w:hAnsi="宋体"/>
          <w:sz w:val="28"/>
          <w:szCs w:val="28"/>
        </w:rPr>
        <w:t>一、质疑的提出</w:t>
      </w:r>
    </w:p>
    <w:p>
      <w:pPr>
        <w:pStyle w:val="3"/>
        <w:snapToGrid w:val="0"/>
        <w:spacing w:line="400" w:lineRule="atLeast"/>
        <w:rPr>
          <w:rStyle w:val="17"/>
          <w:rFonts w:ascii="宋体" w:hAnsi="宋体"/>
          <w:sz w:val="28"/>
          <w:szCs w:val="28"/>
        </w:rPr>
      </w:pPr>
      <w:r>
        <w:rPr>
          <w:rStyle w:val="17"/>
          <w:rFonts w:ascii="宋体" w:hAnsi="宋体"/>
          <w:sz w:val="28"/>
          <w:szCs w:val="28"/>
        </w:rPr>
        <w:t xml:space="preserve">(一)质疑人的身份要求      </w:t>
      </w:r>
    </w:p>
    <w:p>
      <w:pPr>
        <w:pStyle w:val="3"/>
        <w:snapToGrid w:val="0"/>
        <w:spacing w:line="400" w:lineRule="atLeast"/>
        <w:ind w:left="0" w:leftChars="0" w:firstLine="560" w:firstLineChars="200"/>
        <w:rPr>
          <w:rStyle w:val="17"/>
          <w:rFonts w:ascii="宋体" w:hAnsi="宋体"/>
          <w:sz w:val="28"/>
          <w:szCs w:val="28"/>
        </w:rPr>
      </w:pPr>
      <w:r>
        <w:rPr>
          <w:rStyle w:val="17"/>
          <w:rFonts w:ascii="宋体" w:hAnsi="宋体"/>
          <w:sz w:val="28"/>
          <w:szCs w:val="28"/>
        </w:rPr>
        <w:t>1.质疑人必须是直接参加本次询价活动的当事人。</w:t>
      </w:r>
    </w:p>
    <w:p>
      <w:pPr>
        <w:pStyle w:val="3"/>
        <w:snapToGrid w:val="0"/>
        <w:spacing w:line="400" w:lineRule="atLeast"/>
        <w:ind w:left="0" w:leftChars="0" w:firstLine="560" w:firstLineChars="200"/>
        <w:rPr>
          <w:rStyle w:val="17"/>
          <w:rFonts w:ascii="宋体" w:hAnsi="宋体"/>
          <w:sz w:val="28"/>
          <w:szCs w:val="28"/>
        </w:rPr>
      </w:pPr>
      <w:r>
        <w:rPr>
          <w:rStyle w:val="17"/>
          <w:rFonts w:ascii="宋体" w:hAnsi="宋体"/>
          <w:sz w:val="28"/>
          <w:szCs w:val="28"/>
        </w:rPr>
        <w:t>2.未参加询价活动的供应商或在询价活动中自身权益未受到损害的供应商所提出的质疑不予受理。</w:t>
      </w:r>
    </w:p>
    <w:p>
      <w:pPr>
        <w:pStyle w:val="3"/>
        <w:snapToGrid w:val="0"/>
        <w:spacing w:line="400" w:lineRule="atLeast"/>
        <w:rPr>
          <w:rStyle w:val="17"/>
          <w:rFonts w:ascii="宋体" w:hAnsi="宋体"/>
          <w:sz w:val="28"/>
          <w:szCs w:val="28"/>
        </w:rPr>
      </w:pPr>
      <w:r>
        <w:rPr>
          <w:rStyle w:val="17"/>
          <w:rFonts w:ascii="宋体" w:hAnsi="宋体"/>
          <w:sz w:val="28"/>
          <w:szCs w:val="28"/>
        </w:rPr>
        <w:t xml:space="preserve">(二)质疑提出的格式要求   </w:t>
      </w:r>
    </w:p>
    <w:p>
      <w:pPr>
        <w:pStyle w:val="3"/>
        <w:snapToGrid w:val="0"/>
        <w:spacing w:line="400" w:lineRule="atLeast"/>
        <w:ind w:left="0" w:leftChars="0" w:firstLine="560" w:firstLineChars="200"/>
        <w:rPr>
          <w:rStyle w:val="17"/>
          <w:rFonts w:ascii="宋体" w:hAnsi="宋体"/>
          <w:sz w:val="28"/>
          <w:szCs w:val="28"/>
        </w:rPr>
      </w:pPr>
      <w:r>
        <w:rPr>
          <w:rStyle w:val="17"/>
          <w:rFonts w:ascii="宋体" w:hAnsi="宋体"/>
          <w:sz w:val="28"/>
          <w:szCs w:val="28"/>
        </w:rPr>
        <w:t>1.质疑必须按《政府采购法》、《政府采购法实施条例》及《江苏省政府采购供应商监督管理暂行办法》的相关规定提交，质疑实行实名制，不得进行虚假、恶意质疑，未按上述要求提交的质疑函，中心有权不予受理。</w:t>
      </w:r>
    </w:p>
    <w:p>
      <w:pPr>
        <w:pStyle w:val="3"/>
        <w:snapToGrid w:val="0"/>
        <w:spacing w:line="400" w:lineRule="atLeast"/>
        <w:ind w:firstLine="117" w:firstLineChars="42"/>
        <w:rPr>
          <w:rStyle w:val="17"/>
          <w:rFonts w:ascii="宋体" w:hAnsi="宋体"/>
          <w:sz w:val="28"/>
          <w:szCs w:val="28"/>
        </w:rPr>
      </w:pPr>
      <w:r>
        <w:rPr>
          <w:rStyle w:val="17"/>
          <w:rFonts w:ascii="宋体" w:hAnsi="宋体"/>
          <w:sz w:val="28"/>
          <w:szCs w:val="28"/>
        </w:rPr>
        <w:t xml:space="preserve">2.质疑函应包括：    </w:t>
      </w:r>
    </w:p>
    <w:p>
      <w:pPr>
        <w:pStyle w:val="3"/>
        <w:snapToGrid w:val="0"/>
        <w:spacing w:line="400" w:lineRule="atLeast"/>
        <w:rPr>
          <w:rStyle w:val="17"/>
          <w:rFonts w:ascii="宋体" w:hAnsi="宋体"/>
          <w:sz w:val="28"/>
          <w:szCs w:val="28"/>
        </w:rPr>
      </w:pPr>
      <w:r>
        <w:rPr>
          <w:rStyle w:val="17"/>
          <w:rFonts w:ascii="宋体" w:hAnsi="宋体"/>
          <w:sz w:val="28"/>
          <w:szCs w:val="28"/>
        </w:rPr>
        <w:t>（1）质疑询价人的名称、地址、邮编、联系人及联系电话；</w:t>
      </w:r>
    </w:p>
    <w:p>
      <w:pPr>
        <w:pStyle w:val="3"/>
        <w:snapToGrid w:val="0"/>
        <w:spacing w:line="400" w:lineRule="atLeast"/>
        <w:rPr>
          <w:rStyle w:val="17"/>
          <w:rFonts w:ascii="宋体" w:hAnsi="宋体"/>
          <w:sz w:val="28"/>
          <w:szCs w:val="28"/>
        </w:rPr>
      </w:pPr>
      <w:r>
        <w:rPr>
          <w:rStyle w:val="17"/>
          <w:rFonts w:ascii="宋体" w:hAnsi="宋体"/>
          <w:sz w:val="28"/>
          <w:szCs w:val="28"/>
        </w:rPr>
        <w:t>（2）具体、明确的质疑事项及明确的请求；</w:t>
      </w:r>
    </w:p>
    <w:p>
      <w:pPr>
        <w:pStyle w:val="3"/>
        <w:snapToGrid w:val="0"/>
        <w:spacing w:line="400" w:lineRule="atLeast"/>
        <w:rPr>
          <w:rStyle w:val="17"/>
          <w:rFonts w:ascii="宋体" w:hAnsi="宋体"/>
          <w:sz w:val="28"/>
          <w:szCs w:val="28"/>
        </w:rPr>
      </w:pPr>
      <w:r>
        <w:rPr>
          <w:rStyle w:val="17"/>
          <w:rFonts w:ascii="宋体" w:hAnsi="宋体"/>
          <w:sz w:val="28"/>
          <w:szCs w:val="28"/>
        </w:rPr>
        <w:t>（3）质疑的事实依据和必要的法律依据；</w:t>
      </w:r>
    </w:p>
    <w:p>
      <w:pPr>
        <w:pStyle w:val="3"/>
        <w:snapToGrid w:val="0"/>
        <w:spacing w:line="400" w:lineRule="atLeast"/>
        <w:rPr>
          <w:rStyle w:val="17"/>
          <w:rFonts w:ascii="宋体" w:hAnsi="宋体"/>
          <w:sz w:val="28"/>
          <w:szCs w:val="28"/>
        </w:rPr>
      </w:pPr>
      <w:r>
        <w:rPr>
          <w:rStyle w:val="17"/>
          <w:rFonts w:ascii="宋体" w:hAnsi="宋体"/>
          <w:sz w:val="28"/>
          <w:szCs w:val="28"/>
        </w:rPr>
        <w:t>（4）提起质疑的日期；</w:t>
      </w:r>
    </w:p>
    <w:p>
      <w:pPr>
        <w:pStyle w:val="3"/>
        <w:snapToGrid w:val="0"/>
        <w:spacing w:line="400" w:lineRule="atLeast"/>
        <w:rPr>
          <w:rStyle w:val="17"/>
          <w:rFonts w:ascii="宋体" w:hAnsi="宋体"/>
          <w:sz w:val="28"/>
          <w:szCs w:val="28"/>
        </w:rPr>
      </w:pPr>
      <w:r>
        <w:rPr>
          <w:rStyle w:val="17"/>
          <w:rFonts w:ascii="宋体" w:hAnsi="宋体"/>
          <w:sz w:val="28"/>
          <w:szCs w:val="28"/>
        </w:rPr>
        <w:t xml:space="preserve">（5）认为自己合法权益受到损害或可能受到损害的相关证据材料；                            </w:t>
      </w:r>
    </w:p>
    <w:p>
      <w:pPr>
        <w:pStyle w:val="3"/>
        <w:snapToGrid w:val="0"/>
        <w:spacing w:line="400" w:lineRule="atLeast"/>
        <w:ind w:left="0" w:leftChars="0" w:firstLine="420" w:firstLineChars="150"/>
        <w:rPr>
          <w:rStyle w:val="17"/>
          <w:rFonts w:ascii="宋体" w:hAnsi="宋体"/>
          <w:sz w:val="28"/>
          <w:szCs w:val="28"/>
        </w:rPr>
      </w:pPr>
      <w:r>
        <w:rPr>
          <w:rStyle w:val="17"/>
          <w:rFonts w:ascii="宋体" w:hAnsi="宋体"/>
          <w:sz w:val="28"/>
          <w:szCs w:val="28"/>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中心将不予受理。质疑人委托代理质疑的，应当向中心提交授权委托书，并载明委托代理的具体权限和事项。</w:t>
      </w:r>
    </w:p>
    <w:p>
      <w:pPr>
        <w:pStyle w:val="3"/>
        <w:snapToGrid w:val="0"/>
        <w:spacing w:line="400" w:lineRule="atLeast"/>
        <w:ind w:firstLine="117" w:firstLineChars="42"/>
        <w:rPr>
          <w:rStyle w:val="17"/>
          <w:rFonts w:ascii="宋体" w:hAnsi="宋体"/>
          <w:sz w:val="28"/>
          <w:szCs w:val="28"/>
        </w:rPr>
      </w:pPr>
      <w:r>
        <w:rPr>
          <w:rStyle w:val="17"/>
          <w:rFonts w:ascii="宋体" w:hAnsi="宋体"/>
          <w:sz w:val="28"/>
          <w:szCs w:val="28"/>
        </w:rPr>
        <w:t>3.质疑函需遵循的原则：</w:t>
      </w:r>
    </w:p>
    <w:p>
      <w:pPr>
        <w:pStyle w:val="3"/>
        <w:snapToGrid w:val="0"/>
        <w:spacing w:line="400" w:lineRule="atLeast"/>
        <w:ind w:left="0" w:leftChars="0" w:firstLine="560" w:firstLineChars="200"/>
        <w:rPr>
          <w:rStyle w:val="17"/>
          <w:rFonts w:ascii="宋体" w:hAnsi="宋体"/>
          <w:sz w:val="28"/>
          <w:szCs w:val="28"/>
        </w:rPr>
      </w:pPr>
      <w:r>
        <w:rPr>
          <w:rStyle w:val="17"/>
          <w:rFonts w:ascii="宋体" w:hAnsi="宋体"/>
          <w:sz w:val="28"/>
          <w:szCs w:val="28"/>
        </w:rPr>
        <w:t>提出质疑时，必须坚持“谁主张，谁举证”、“实事求是”的原则，不能臆测。属于须由法定部门调查、侦查或先行作出相关认定的事项，质疑人应当依法申请具有法定职权的部门查清、认定，并将相关结果提供给询价人。询价人不具有法定调查、认定权限。</w:t>
      </w:r>
    </w:p>
    <w:p>
      <w:pPr>
        <w:pStyle w:val="3"/>
        <w:snapToGrid w:val="0"/>
        <w:spacing w:line="400" w:lineRule="atLeast"/>
        <w:rPr>
          <w:rStyle w:val="17"/>
          <w:rFonts w:ascii="宋体" w:hAnsi="宋体"/>
          <w:sz w:val="28"/>
          <w:szCs w:val="28"/>
        </w:rPr>
      </w:pPr>
      <w:r>
        <w:rPr>
          <w:rStyle w:val="17"/>
          <w:rFonts w:ascii="宋体" w:hAnsi="宋体"/>
          <w:sz w:val="28"/>
          <w:szCs w:val="28"/>
        </w:rPr>
        <w:t>（三）质疑提出的时效要求</w:t>
      </w:r>
    </w:p>
    <w:p>
      <w:pPr>
        <w:pStyle w:val="3"/>
        <w:snapToGrid w:val="0"/>
        <w:spacing w:line="400" w:lineRule="atLeast"/>
        <w:ind w:left="0" w:leftChars="0" w:firstLine="560" w:firstLineChars="200"/>
        <w:rPr>
          <w:rStyle w:val="17"/>
          <w:rFonts w:ascii="宋体" w:hAnsi="宋体"/>
          <w:sz w:val="28"/>
          <w:szCs w:val="28"/>
        </w:rPr>
      </w:pPr>
      <w:r>
        <w:rPr>
          <w:rStyle w:val="17"/>
          <w:rFonts w:ascii="宋体" w:hAnsi="宋体"/>
          <w:sz w:val="28"/>
          <w:szCs w:val="28"/>
        </w:rPr>
        <w:t xml:space="preserve">1.询价人认为采购文件、采购过程和采购结果使自己的权益受到损害的，可以在知道或应知其权益受到损害之日起七个工作日内，以书面形式向中心或采购人提出质疑。上述应知其权益受到损害之日，是指：                       </w:t>
      </w:r>
    </w:p>
    <w:p>
      <w:pPr>
        <w:pStyle w:val="3"/>
        <w:snapToGrid w:val="0"/>
        <w:spacing w:line="400" w:lineRule="atLeast"/>
        <w:ind w:left="0" w:leftChars="0" w:firstLine="420" w:firstLineChars="150"/>
        <w:rPr>
          <w:rStyle w:val="17"/>
          <w:rFonts w:ascii="宋体" w:hAnsi="宋体"/>
          <w:sz w:val="28"/>
          <w:szCs w:val="28"/>
        </w:rPr>
      </w:pPr>
      <w:r>
        <w:rPr>
          <w:rStyle w:val="17"/>
          <w:rFonts w:ascii="宋体" w:hAnsi="宋体"/>
          <w:sz w:val="28"/>
          <w:szCs w:val="28"/>
        </w:rPr>
        <w:t>（1）对可以质疑的采购文件提出质疑的，为收到采购文件之日或者采购文件公告期限届满之日；</w:t>
      </w:r>
    </w:p>
    <w:p>
      <w:pPr>
        <w:pStyle w:val="3"/>
        <w:snapToGrid w:val="0"/>
        <w:spacing w:line="400" w:lineRule="atLeast"/>
        <w:rPr>
          <w:rStyle w:val="17"/>
          <w:rFonts w:ascii="宋体" w:hAnsi="宋体"/>
          <w:sz w:val="28"/>
          <w:szCs w:val="28"/>
        </w:rPr>
      </w:pPr>
      <w:r>
        <w:rPr>
          <w:rStyle w:val="17"/>
          <w:rFonts w:ascii="宋体" w:hAnsi="宋体"/>
          <w:sz w:val="28"/>
          <w:szCs w:val="28"/>
        </w:rPr>
        <w:t>（2）对采购过程提出质疑的，为各采购程序环节结束之日；</w:t>
      </w:r>
    </w:p>
    <w:p>
      <w:pPr>
        <w:pStyle w:val="3"/>
        <w:snapToGrid w:val="0"/>
        <w:spacing w:line="400" w:lineRule="atLeast"/>
        <w:rPr>
          <w:rStyle w:val="17"/>
          <w:rFonts w:ascii="宋体" w:hAnsi="宋体"/>
          <w:sz w:val="28"/>
          <w:szCs w:val="28"/>
        </w:rPr>
      </w:pPr>
      <w:r>
        <w:rPr>
          <w:rStyle w:val="17"/>
          <w:rFonts w:ascii="宋体" w:hAnsi="宋体"/>
          <w:sz w:val="28"/>
          <w:szCs w:val="28"/>
        </w:rPr>
        <w:t xml:space="preserve">（3）对中标或者成交结果提出质疑的，为中标或者成交结果公告期限届满之日。                 </w:t>
      </w:r>
    </w:p>
    <w:p>
      <w:pPr>
        <w:pStyle w:val="3"/>
        <w:snapToGrid w:val="0"/>
        <w:spacing w:line="400" w:lineRule="atLeast"/>
        <w:ind w:left="0" w:leftChars="0" w:firstLine="560" w:firstLineChars="200"/>
        <w:rPr>
          <w:rStyle w:val="17"/>
          <w:rFonts w:ascii="宋体" w:hAnsi="宋体"/>
          <w:sz w:val="28"/>
          <w:szCs w:val="28"/>
        </w:rPr>
      </w:pPr>
      <w:r>
        <w:rPr>
          <w:rStyle w:val="17"/>
          <w:rFonts w:ascii="宋体" w:hAnsi="宋体"/>
          <w:sz w:val="28"/>
          <w:szCs w:val="28"/>
        </w:rPr>
        <w:t>询价人认为采购文件使自己的权益受到损害的，可以按照询价公告第八项要求向采购人提出质疑；询价人认为采购过程和采购结果使自己的权益受到损害的，可以以书面形式向采购中心或采购人提出质疑。</w:t>
      </w:r>
    </w:p>
    <w:p>
      <w:pPr>
        <w:pStyle w:val="3"/>
        <w:snapToGrid w:val="0"/>
        <w:spacing w:line="400" w:lineRule="atLeast"/>
        <w:rPr>
          <w:rStyle w:val="17"/>
          <w:rFonts w:ascii="宋体" w:hAnsi="宋体"/>
          <w:sz w:val="28"/>
          <w:szCs w:val="28"/>
        </w:rPr>
      </w:pPr>
      <w:r>
        <w:rPr>
          <w:rStyle w:val="17"/>
          <w:rFonts w:ascii="宋体" w:hAnsi="宋体"/>
          <w:sz w:val="28"/>
          <w:szCs w:val="28"/>
        </w:rPr>
        <w:t xml:space="preserve">2.询价人应在法定质疑期一次性提出针对同一采购程序环节的质疑。                         </w:t>
      </w:r>
    </w:p>
    <w:p>
      <w:pPr>
        <w:pStyle w:val="3"/>
        <w:snapToGrid w:val="0"/>
        <w:spacing w:line="400" w:lineRule="atLeast"/>
        <w:ind w:left="0" w:leftChars="0"/>
        <w:rPr>
          <w:rStyle w:val="17"/>
          <w:rFonts w:ascii="宋体" w:hAnsi="宋体"/>
          <w:sz w:val="28"/>
          <w:szCs w:val="28"/>
        </w:rPr>
      </w:pPr>
      <w:r>
        <w:rPr>
          <w:rStyle w:val="17"/>
          <w:rFonts w:ascii="宋体" w:hAnsi="宋体"/>
          <w:sz w:val="28"/>
          <w:szCs w:val="28"/>
        </w:rPr>
        <w:t>二、《质疑函》的受理和答复</w:t>
      </w:r>
    </w:p>
    <w:p>
      <w:pPr>
        <w:pStyle w:val="3"/>
        <w:snapToGrid w:val="0"/>
        <w:spacing w:line="400" w:lineRule="atLeast"/>
        <w:ind w:left="0" w:leftChars="0" w:firstLine="560" w:firstLineChars="200"/>
        <w:rPr>
          <w:rStyle w:val="17"/>
          <w:rFonts w:ascii="宋体" w:hAnsi="宋体"/>
          <w:sz w:val="28"/>
          <w:szCs w:val="28"/>
        </w:rPr>
      </w:pPr>
      <w:r>
        <w:rPr>
          <w:rStyle w:val="17"/>
          <w:rFonts w:ascii="宋体" w:hAnsi="宋体"/>
          <w:sz w:val="28"/>
          <w:szCs w:val="28"/>
        </w:rPr>
        <w:t>1. 中心收到质疑函后，将对质疑的形式和内容进行审查，如质疑函内容、格式不符合规定，中心将告知质疑人进行补正。</w:t>
      </w:r>
    </w:p>
    <w:p>
      <w:pPr>
        <w:pStyle w:val="3"/>
        <w:snapToGrid w:val="0"/>
        <w:spacing w:line="400" w:lineRule="atLeast"/>
        <w:ind w:left="0" w:leftChars="0" w:firstLine="560" w:firstLineChars="200"/>
        <w:rPr>
          <w:rStyle w:val="17"/>
          <w:rFonts w:ascii="宋体" w:hAnsi="宋体"/>
          <w:sz w:val="28"/>
          <w:szCs w:val="28"/>
        </w:rPr>
      </w:pPr>
      <w:r>
        <w:rPr>
          <w:rStyle w:val="17"/>
          <w:rFonts w:ascii="宋体" w:hAnsi="宋体"/>
          <w:sz w:val="28"/>
          <w:szCs w:val="28"/>
        </w:rPr>
        <w:t>2. 质疑人应当在法定质疑期限内进行补正并重新提交质疑函，拒不补正或者在法定期限内未重新提交质疑函的，为无效质疑，中心将不予受理。</w:t>
      </w:r>
    </w:p>
    <w:p>
      <w:pPr>
        <w:pStyle w:val="3"/>
        <w:snapToGrid w:val="0"/>
        <w:spacing w:line="400" w:lineRule="atLeast"/>
        <w:ind w:left="0" w:leftChars="0" w:firstLine="560" w:firstLineChars="200"/>
        <w:rPr>
          <w:rStyle w:val="17"/>
          <w:rFonts w:ascii="宋体" w:hAnsi="宋体"/>
          <w:sz w:val="28"/>
          <w:szCs w:val="28"/>
        </w:rPr>
      </w:pPr>
      <w:r>
        <w:rPr>
          <w:rStyle w:val="17"/>
          <w:rFonts w:ascii="宋体" w:hAnsi="宋体"/>
          <w:sz w:val="28"/>
          <w:szCs w:val="28"/>
        </w:rPr>
        <w:t>3.采购人或采购代理机构答复供应商质疑应当采用书面方式并依法送达，质疑供应商或其委托代理人拒绝签收的视为已经送达。</w:t>
      </w:r>
    </w:p>
    <w:p>
      <w:pPr>
        <w:pStyle w:val="3"/>
        <w:snapToGrid w:val="0"/>
        <w:spacing w:line="400" w:lineRule="atLeast"/>
        <w:ind w:left="0" w:leftChars="0"/>
        <w:rPr>
          <w:rStyle w:val="17"/>
          <w:rFonts w:ascii="宋体" w:hAnsi="宋体"/>
          <w:sz w:val="28"/>
          <w:szCs w:val="28"/>
        </w:rPr>
      </w:pPr>
      <w:r>
        <w:rPr>
          <w:rStyle w:val="17"/>
          <w:rFonts w:ascii="宋体" w:hAnsi="宋体"/>
          <w:sz w:val="28"/>
          <w:szCs w:val="28"/>
        </w:rPr>
        <w:t>三、质疑处理</w:t>
      </w:r>
    </w:p>
    <w:p>
      <w:pPr>
        <w:pStyle w:val="3"/>
        <w:snapToGrid w:val="0"/>
        <w:spacing w:line="400" w:lineRule="atLeast"/>
        <w:rPr>
          <w:rStyle w:val="17"/>
          <w:rFonts w:ascii="宋体" w:hAnsi="宋体"/>
          <w:sz w:val="28"/>
          <w:szCs w:val="28"/>
        </w:rPr>
      </w:pPr>
      <w:r>
        <w:rPr>
          <w:rStyle w:val="17"/>
          <w:rFonts w:ascii="宋体" w:hAnsi="宋体"/>
          <w:sz w:val="28"/>
          <w:szCs w:val="28"/>
        </w:rPr>
        <w:t>1.质疑成立的处理</w:t>
      </w:r>
    </w:p>
    <w:p>
      <w:pPr>
        <w:pStyle w:val="3"/>
        <w:snapToGrid w:val="0"/>
        <w:spacing w:line="400" w:lineRule="atLeast"/>
        <w:ind w:left="0" w:leftChars="0" w:firstLine="280" w:firstLineChars="100"/>
        <w:rPr>
          <w:rStyle w:val="17"/>
          <w:rFonts w:ascii="宋体" w:hAnsi="宋体"/>
          <w:sz w:val="28"/>
          <w:szCs w:val="28"/>
        </w:rPr>
      </w:pPr>
      <w:r>
        <w:rPr>
          <w:rStyle w:val="17"/>
          <w:rFonts w:ascii="宋体" w:hAnsi="宋体"/>
          <w:sz w:val="28"/>
          <w:szCs w:val="28"/>
        </w:rPr>
        <w:t xml:space="preserve">（1）对于内容、格式符合规定的质疑函，中心在收到询价供应商的书面质疑后七个工作日内作出书面答复，但答复的内容不得涉及商业秘密。                       </w:t>
      </w:r>
    </w:p>
    <w:p>
      <w:pPr>
        <w:pStyle w:val="3"/>
        <w:snapToGrid w:val="0"/>
        <w:spacing w:line="400" w:lineRule="atLeast"/>
        <w:ind w:left="0" w:leftChars="0" w:firstLine="280" w:firstLineChars="100"/>
        <w:rPr>
          <w:rStyle w:val="17"/>
          <w:rFonts w:ascii="宋体" w:hAnsi="宋体"/>
          <w:sz w:val="28"/>
          <w:szCs w:val="28"/>
        </w:rPr>
      </w:pPr>
      <w:r>
        <w:rPr>
          <w:rStyle w:val="17"/>
          <w:rFonts w:ascii="宋体" w:hAnsi="宋体"/>
          <w:sz w:val="28"/>
          <w:szCs w:val="28"/>
        </w:rPr>
        <w:t>（2）对采购文件提出的质疑，依法通过澄清或者修改可以继续开展采购活动的，澄清或者修改采购文件后继续开展采购活动；否则应当修改采购文件后重新开展采购活动。</w:t>
      </w:r>
    </w:p>
    <w:p>
      <w:pPr>
        <w:pStyle w:val="3"/>
        <w:snapToGrid w:val="0"/>
        <w:spacing w:line="400" w:lineRule="atLeast"/>
        <w:ind w:left="0" w:leftChars="0" w:firstLine="280" w:firstLineChars="100"/>
        <w:rPr>
          <w:rStyle w:val="17"/>
          <w:rFonts w:ascii="宋体" w:hAnsi="宋体"/>
          <w:sz w:val="28"/>
          <w:szCs w:val="28"/>
        </w:rPr>
      </w:pPr>
      <w:r>
        <w:rPr>
          <w:rStyle w:val="17"/>
          <w:rFonts w:ascii="宋体" w:hAnsi="宋体"/>
          <w:sz w:val="28"/>
          <w:szCs w:val="28"/>
        </w:rPr>
        <w:t>（3）对采购过程、中标或者成交结果提出的质疑，合格供应商符合法定数量时，可以从合格的中标候选人中另行确定中标、成交供应商的，应当依法另行确定中标供应商；否则应当重新开展采购活动。</w:t>
      </w:r>
    </w:p>
    <w:p>
      <w:pPr>
        <w:pStyle w:val="3"/>
        <w:snapToGrid w:val="0"/>
        <w:spacing w:line="400" w:lineRule="atLeast"/>
        <w:ind w:left="0" w:leftChars="0" w:firstLine="560" w:firstLineChars="200"/>
        <w:rPr>
          <w:rStyle w:val="17"/>
          <w:rFonts w:ascii="宋体" w:hAnsi="宋体"/>
          <w:sz w:val="28"/>
          <w:szCs w:val="28"/>
        </w:rPr>
      </w:pPr>
      <w:r>
        <w:rPr>
          <w:rStyle w:val="17"/>
          <w:rFonts w:ascii="宋体" w:hAnsi="宋体"/>
          <w:sz w:val="28"/>
          <w:szCs w:val="28"/>
        </w:rPr>
        <w:t>质疑答复导致中标、成交结果改变的，采购人或者采购代理机构应当将有关情况书面报告本级财政部门。</w:t>
      </w:r>
    </w:p>
    <w:p>
      <w:pPr>
        <w:pStyle w:val="3"/>
        <w:snapToGrid w:val="0"/>
        <w:spacing w:line="400" w:lineRule="atLeast"/>
        <w:rPr>
          <w:rStyle w:val="17"/>
          <w:rFonts w:ascii="宋体" w:hAnsi="宋体"/>
          <w:sz w:val="28"/>
          <w:szCs w:val="28"/>
        </w:rPr>
      </w:pPr>
      <w:r>
        <w:rPr>
          <w:rStyle w:val="17"/>
          <w:rFonts w:ascii="宋体" w:hAnsi="宋体"/>
          <w:sz w:val="28"/>
          <w:szCs w:val="28"/>
        </w:rPr>
        <w:t>2.质疑不成立的处理</w:t>
      </w:r>
    </w:p>
    <w:p>
      <w:pPr>
        <w:pStyle w:val="3"/>
        <w:snapToGrid w:val="0"/>
        <w:spacing w:line="400" w:lineRule="atLeast"/>
        <w:rPr>
          <w:rStyle w:val="17"/>
          <w:rFonts w:ascii="宋体" w:hAnsi="宋体"/>
          <w:sz w:val="28"/>
          <w:szCs w:val="28"/>
        </w:rPr>
      </w:pPr>
      <w:r>
        <w:rPr>
          <w:rStyle w:val="17"/>
          <w:rFonts w:ascii="宋体" w:hAnsi="宋体"/>
          <w:sz w:val="28"/>
          <w:szCs w:val="28"/>
        </w:rPr>
        <w:t>若质疑不成立，或者成立未对中标、成交结果构成影响的，继续开展采购活动。</w:t>
      </w:r>
    </w:p>
    <w:p>
      <w:pPr>
        <w:pStyle w:val="3"/>
        <w:snapToGrid w:val="0"/>
        <w:spacing w:line="400" w:lineRule="atLeast"/>
        <w:rPr>
          <w:rStyle w:val="17"/>
          <w:rFonts w:ascii="宋体" w:hAnsi="宋体"/>
          <w:sz w:val="28"/>
          <w:szCs w:val="28"/>
        </w:rPr>
      </w:pPr>
      <w:r>
        <w:rPr>
          <w:rStyle w:val="17"/>
          <w:rFonts w:ascii="宋体" w:hAnsi="宋体"/>
          <w:sz w:val="28"/>
          <w:szCs w:val="28"/>
        </w:rPr>
        <w:t xml:space="preserve">3.虚假质疑的处理          </w:t>
      </w:r>
    </w:p>
    <w:p>
      <w:pPr>
        <w:pStyle w:val="3"/>
        <w:snapToGrid w:val="0"/>
        <w:spacing w:line="400" w:lineRule="atLeast"/>
        <w:ind w:left="0" w:leftChars="0" w:firstLine="280" w:firstLineChars="100"/>
        <w:rPr>
          <w:rStyle w:val="17"/>
          <w:rFonts w:ascii="宋体" w:hAnsi="宋体"/>
          <w:sz w:val="28"/>
          <w:szCs w:val="28"/>
        </w:rPr>
      </w:pPr>
      <w:r>
        <w:rPr>
          <w:rStyle w:val="17"/>
          <w:rFonts w:ascii="宋体" w:hAnsi="宋体"/>
          <w:sz w:val="28"/>
          <w:szCs w:val="28"/>
        </w:rPr>
        <w:t>（1）询价人提出书面质疑必须有理、有据，不得恶意质疑或提交虚假质疑。否则，一经查实，中心有权依据政府采购的有关规定，报请政府采购监管部门对该询价人进行相应的行政处罚。</w:t>
      </w:r>
    </w:p>
    <w:p>
      <w:pPr>
        <w:pStyle w:val="3"/>
        <w:snapToGrid w:val="0"/>
        <w:spacing w:line="400" w:lineRule="atLeast"/>
        <w:ind w:left="0" w:leftChars="0" w:firstLine="280" w:firstLineChars="100"/>
        <w:rPr>
          <w:rStyle w:val="17"/>
          <w:rFonts w:ascii="宋体" w:hAnsi="宋体"/>
          <w:sz w:val="28"/>
          <w:szCs w:val="28"/>
        </w:rPr>
      </w:pPr>
      <w:r>
        <w:rPr>
          <w:rStyle w:val="17"/>
          <w:rFonts w:ascii="宋体" w:hAnsi="宋体"/>
          <w:sz w:val="28"/>
          <w:szCs w:val="28"/>
        </w:rPr>
        <w:t>（2）在江苏省范围内一年累计三次以上质疑，均查无实据的供应商将按失信行为记入该注册供应商诚信档案中。</w:t>
      </w:r>
    </w:p>
    <w:p>
      <w:pPr>
        <w:snapToGrid w:val="0"/>
        <w:spacing w:line="300" w:lineRule="auto"/>
        <w:jc w:val="center"/>
        <w:rPr>
          <w:rStyle w:val="17"/>
          <w:rFonts w:ascii="宋体" w:hAnsi="宋体"/>
          <w:b/>
          <w:sz w:val="36"/>
          <w:szCs w:val="36"/>
        </w:rPr>
      </w:pPr>
      <w:r>
        <w:rPr>
          <w:rStyle w:val="17"/>
          <w:rFonts w:ascii="宋体" w:hAnsi="宋体"/>
          <w:b/>
          <w:sz w:val="36"/>
          <w:szCs w:val="36"/>
        </w:rPr>
        <w:br w:type="textWrapping"/>
      </w:r>
    </w:p>
    <w:p>
      <w:pPr>
        <w:snapToGrid w:val="0"/>
        <w:spacing w:line="300" w:lineRule="auto"/>
        <w:jc w:val="center"/>
        <w:rPr>
          <w:rStyle w:val="17"/>
          <w:rFonts w:ascii="宋体" w:hAnsi="宋体"/>
          <w:b/>
          <w:sz w:val="36"/>
          <w:szCs w:val="36"/>
        </w:rPr>
      </w:pPr>
      <w:r>
        <w:rPr>
          <w:rStyle w:val="17"/>
          <w:rFonts w:ascii="宋体" w:hAnsi="宋体"/>
          <w:b/>
          <w:sz w:val="36"/>
          <w:szCs w:val="36"/>
        </w:rPr>
        <w:t>第七部分  询价文件组成</w:t>
      </w:r>
    </w:p>
    <w:p>
      <w:pPr>
        <w:pStyle w:val="13"/>
        <w:rPr>
          <w:rStyle w:val="17"/>
          <w:b/>
        </w:rPr>
      </w:pPr>
      <w:r>
        <w:rPr>
          <w:rStyle w:val="17"/>
          <w:b/>
        </w:rPr>
        <w:t>询价资料目录</w:t>
      </w:r>
    </w:p>
    <w:tbl>
      <w:tblPr>
        <w:tblStyle w:val="8"/>
        <w:tblW w:w="9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2735"/>
        <w:gridCol w:w="2054"/>
        <w:gridCol w:w="1541"/>
        <w:gridCol w:w="2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序号</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询价文件要求</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证明材料名称</w:t>
            </w: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响应文件位置</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1</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关于资格的声明函</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2</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法定代表人身份证明书</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3</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授权委托书</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法定代表人参加询价的可不提供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4</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营业执照</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5</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依法缴纳税收和社会保障资金的相关材料</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6</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具备履行合同所必需设备和专业技术能力</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7</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参加政府采购活动前三年内在经营活动中没有重大违法记录的书面声明</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8</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上一年度的财务状况报告</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9</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本项目的特定资格要求</w:t>
            </w:r>
          </w:p>
          <w:p>
            <w:pPr>
              <w:tabs>
                <w:tab w:val="left" w:pos="3375"/>
              </w:tabs>
              <w:snapToGrid w:val="0"/>
              <w:jc w:val="center"/>
              <w:rPr>
                <w:rStyle w:val="17"/>
                <w:rFonts w:ascii="宋体" w:hAnsi="宋体"/>
                <w:szCs w:val="21"/>
              </w:rPr>
            </w:pPr>
            <w:r>
              <w:rPr>
                <w:rStyle w:val="17"/>
                <w:rFonts w:ascii="宋体" w:hAnsi="宋体"/>
                <w:szCs w:val="21"/>
                <w:lang w:val="en-GB"/>
              </w:rPr>
              <w:t>证明文件</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10</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lang w:val="en-GB"/>
              </w:rPr>
            </w:pPr>
            <w:r>
              <w:rPr>
                <w:rStyle w:val="17"/>
                <w:rFonts w:ascii="宋体" w:hAnsi="宋体"/>
                <w:szCs w:val="21"/>
              </w:rPr>
              <w:t>技术部分正负偏离表</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lang w:val="en-GB"/>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11</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lang w:val="en-GB"/>
              </w:rPr>
            </w:pPr>
            <w:r>
              <w:rPr>
                <w:rStyle w:val="17"/>
                <w:rFonts w:ascii="宋体" w:hAnsi="宋体"/>
                <w:szCs w:val="21"/>
                <w:lang w:val="en-GB"/>
              </w:rPr>
              <w:t>商务条款响应及偏离表</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lang w:val="en-GB"/>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12</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lang w:val="en-GB"/>
              </w:rPr>
            </w:pPr>
            <w:r>
              <w:rPr>
                <w:rStyle w:val="17"/>
                <w:rFonts w:ascii="宋体" w:hAnsi="宋体"/>
              </w:rPr>
              <w:t>询价人认为需要提交的其他资料</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lang w:val="en-GB"/>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13</w:t>
            </w:r>
          </w:p>
        </w:tc>
        <w:tc>
          <w:tcPr>
            <w:tcW w:w="2735"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rPr>
            </w:pPr>
            <w:r>
              <w:rPr>
                <w:rStyle w:val="17"/>
                <w:rFonts w:ascii="宋体" w:hAnsi="宋体"/>
              </w:rPr>
              <w:t>价格响应文件</w:t>
            </w:r>
          </w:p>
        </w:tc>
        <w:tc>
          <w:tcPr>
            <w:tcW w:w="2054"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lang w:val="en-GB"/>
              </w:rPr>
            </w:pPr>
          </w:p>
        </w:tc>
        <w:tc>
          <w:tcPr>
            <w:tcW w:w="154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第    页</w:t>
            </w:r>
          </w:p>
        </w:tc>
        <w:tc>
          <w:tcPr>
            <w:tcW w:w="2891" w:type="dxa"/>
            <w:tcBorders>
              <w:top w:val="single" w:color="000000" w:sz="4" w:space="0"/>
              <w:left w:val="single" w:color="000000" w:sz="4" w:space="0"/>
              <w:bottom w:val="single" w:color="000000" w:sz="4" w:space="0"/>
              <w:right w:val="single" w:color="000000" w:sz="4" w:space="0"/>
            </w:tcBorders>
            <w:vAlign w:val="center"/>
          </w:tcPr>
          <w:p>
            <w:pPr>
              <w:tabs>
                <w:tab w:val="left" w:pos="3375"/>
              </w:tabs>
              <w:snapToGrid w:val="0"/>
              <w:jc w:val="center"/>
              <w:rPr>
                <w:rStyle w:val="17"/>
                <w:rFonts w:ascii="宋体" w:hAnsi="宋体"/>
                <w:szCs w:val="21"/>
              </w:rPr>
            </w:pPr>
            <w:r>
              <w:rPr>
                <w:rStyle w:val="17"/>
                <w:rFonts w:ascii="宋体" w:hAnsi="宋体"/>
                <w:szCs w:val="21"/>
              </w:rPr>
              <w:t>见附件</w:t>
            </w:r>
          </w:p>
        </w:tc>
      </w:tr>
    </w:tbl>
    <w:p>
      <w:pPr>
        <w:rPr>
          <w:rStyle w:val="17"/>
          <w:rFonts w:ascii="宋体" w:hAnsi="宋体"/>
          <w:bCs/>
          <w:szCs w:val="21"/>
        </w:rPr>
      </w:pPr>
    </w:p>
    <w:p>
      <w:pPr>
        <w:spacing w:line="440" w:lineRule="atLeast"/>
        <w:rPr>
          <w:rStyle w:val="17"/>
          <w:rFonts w:ascii="宋体" w:hAnsi="宋体"/>
          <w:szCs w:val="21"/>
        </w:rPr>
      </w:pPr>
      <w:r>
        <w:rPr>
          <w:rStyle w:val="17"/>
          <w:rFonts w:ascii="宋体" w:hAnsi="宋体"/>
          <w:bCs/>
          <w:szCs w:val="21"/>
        </w:rPr>
        <w:t>（1）</w:t>
      </w:r>
      <w:r>
        <w:rPr>
          <w:rStyle w:val="17"/>
          <w:rFonts w:ascii="宋体" w:hAnsi="宋体"/>
          <w:szCs w:val="21"/>
        </w:rPr>
        <w:t>《授权书》及相关《</w:t>
      </w:r>
      <w:r>
        <w:rPr>
          <w:rStyle w:val="17"/>
          <w:rFonts w:ascii="宋体" w:hAnsi="宋体"/>
          <w:szCs w:val="21"/>
          <w:lang w:val="en-GB"/>
        </w:rPr>
        <w:t>承诺函》、《</w:t>
      </w:r>
      <w:r>
        <w:rPr>
          <w:rStyle w:val="17"/>
          <w:rFonts w:ascii="宋体" w:hAnsi="宋体"/>
          <w:szCs w:val="21"/>
        </w:rPr>
        <w:t>价格响应文件</w:t>
      </w:r>
      <w:r>
        <w:rPr>
          <w:rStyle w:val="17"/>
          <w:rFonts w:ascii="宋体" w:hAnsi="宋体"/>
          <w:szCs w:val="21"/>
          <w:lang w:val="en-GB"/>
        </w:rPr>
        <w:t>》等格</w:t>
      </w:r>
      <w:r>
        <w:rPr>
          <w:rStyle w:val="17"/>
          <w:rFonts w:ascii="宋体" w:hAnsi="宋体"/>
          <w:szCs w:val="21"/>
        </w:rPr>
        <w:t>式详见附件。</w:t>
      </w:r>
    </w:p>
    <w:p>
      <w:pPr>
        <w:pStyle w:val="13"/>
        <w:jc w:val="left"/>
        <w:rPr>
          <w:rStyle w:val="17"/>
          <w:b/>
        </w:rPr>
      </w:pPr>
      <w:r>
        <w:rPr>
          <w:rStyle w:val="17"/>
          <w:b/>
        </w:rPr>
        <w:br w:type="textWrapping"/>
      </w:r>
    </w:p>
    <w:p>
      <w:pPr>
        <w:pStyle w:val="13"/>
        <w:jc w:val="left"/>
        <w:rPr>
          <w:rStyle w:val="17"/>
          <w:rFonts w:ascii="黑体" w:hAnsi="黑体"/>
          <w:b/>
          <w:sz w:val="24"/>
          <w:szCs w:val="24"/>
        </w:rPr>
      </w:pPr>
      <w:r>
        <w:rPr>
          <w:rStyle w:val="17"/>
          <w:rFonts w:ascii="黑体" w:hAnsi="黑体"/>
          <w:b/>
          <w:sz w:val="24"/>
          <w:szCs w:val="24"/>
        </w:rPr>
        <w:t>附件：</w:t>
      </w:r>
    </w:p>
    <w:p>
      <w:pPr>
        <w:pStyle w:val="46"/>
        <w:snapToGrid w:val="0"/>
        <w:spacing w:line="300" w:lineRule="auto"/>
        <w:ind w:firstLineChars="0"/>
        <w:jc w:val="center"/>
        <w:rPr>
          <w:rStyle w:val="17"/>
          <w:rFonts w:ascii="宋体" w:eastAsia="宋体"/>
          <w:b/>
          <w:sz w:val="36"/>
          <w:szCs w:val="36"/>
        </w:rPr>
      </w:pPr>
      <w:r>
        <w:rPr>
          <w:rStyle w:val="17"/>
          <w:rFonts w:ascii="宋体" w:eastAsia="宋体"/>
          <w:b/>
          <w:sz w:val="36"/>
          <w:szCs w:val="36"/>
        </w:rPr>
        <w:t>关于资格的声明函</w:t>
      </w:r>
    </w:p>
    <w:p>
      <w:pPr>
        <w:spacing w:line="360" w:lineRule="auto"/>
        <w:jc w:val="center"/>
        <w:rPr>
          <w:rStyle w:val="17"/>
          <w:rFonts w:ascii="宋体" w:hAnsi="宋体"/>
          <w:b/>
          <w:szCs w:val="21"/>
        </w:rPr>
      </w:pPr>
    </w:p>
    <w:p>
      <w:pPr>
        <w:pStyle w:val="34"/>
        <w:snapToGrid w:val="0"/>
        <w:spacing w:before="312" w:after="312" w:line="300" w:lineRule="auto"/>
        <w:rPr>
          <w:rStyle w:val="17"/>
          <w:rFonts w:ascii="仿宋_GB2312" w:eastAsia="仿宋_GB2312"/>
          <w:b/>
          <w:sz w:val="28"/>
          <w:szCs w:val="28"/>
        </w:rPr>
      </w:pPr>
      <w:r>
        <w:rPr>
          <w:rStyle w:val="17"/>
          <w:rFonts w:ascii="仿宋_GB2312" w:eastAsia="仿宋_GB2312"/>
          <w:b/>
          <w:sz w:val="28"/>
          <w:szCs w:val="28"/>
        </w:rPr>
        <w:t>南通市海门区人民检察院：</w:t>
      </w:r>
    </w:p>
    <w:p>
      <w:pPr>
        <w:pStyle w:val="34"/>
        <w:snapToGrid w:val="0"/>
        <w:spacing w:before="312" w:after="312" w:line="300" w:lineRule="auto"/>
        <w:ind w:firstLine="560" w:firstLineChars="200"/>
        <w:rPr>
          <w:rStyle w:val="17"/>
          <w:rFonts w:ascii="仿宋_GB2312" w:eastAsia="仿宋_GB2312"/>
          <w:sz w:val="28"/>
          <w:szCs w:val="28"/>
        </w:rPr>
      </w:pPr>
      <w:r>
        <w:rPr>
          <w:rStyle w:val="17"/>
          <w:rFonts w:ascii="仿宋_GB2312" w:eastAsia="仿宋_GB2312"/>
          <w:sz w:val="28"/>
          <w:szCs w:val="28"/>
        </w:rPr>
        <w:t>我公司认真对照询价公告，符合贵方提出的资格要求，自愿报名参加询价，并保证提供的资料文件是准确的和真实的。提供虚假材料的愿意承担相应的法律责任。</w:t>
      </w:r>
    </w:p>
    <w:p>
      <w:pPr>
        <w:pStyle w:val="34"/>
        <w:snapToGrid w:val="0"/>
        <w:spacing w:before="0" w:after="0" w:line="300" w:lineRule="auto"/>
        <w:ind w:firstLine="280" w:firstLineChars="100"/>
        <w:rPr>
          <w:rStyle w:val="17"/>
          <w:rFonts w:ascii="仿宋_GB2312" w:eastAsia="仿宋_GB2312"/>
          <w:sz w:val="28"/>
          <w:szCs w:val="28"/>
        </w:rPr>
      </w:pPr>
      <w:r>
        <w:rPr>
          <w:rStyle w:val="17"/>
          <w:rFonts w:ascii="仿宋_GB2312" w:hAnsi="Courier New" w:eastAsia="仿宋_GB2312"/>
          <w:kern w:val="2"/>
          <w:sz w:val="28"/>
          <w:szCs w:val="28"/>
        </w:rPr>
        <w:t xml:space="preserve">   附：公司询价之前3年内有无受各级管理部门的处分或处罚（含其授权服务的子公司、分公司等），如果不主动填报而被事后发现的，将取消其询价资格，并按有关规定从重处理</w:t>
      </w:r>
      <w:r>
        <w:rPr>
          <w:rStyle w:val="17"/>
          <w:rFonts w:ascii="仿宋_GB2312" w:eastAsia="仿宋_GB2312"/>
          <w:kern w:val="2"/>
          <w:sz w:val="28"/>
          <w:szCs w:val="28"/>
        </w:rPr>
        <w:t>；没有受处罚的询价人，要填写“没有受到任何处罚”，此表不能空白</w:t>
      </w:r>
      <w:r>
        <w:rPr>
          <w:rStyle w:val="17"/>
          <w:rFonts w:ascii="仿宋_GB2312" w:hAnsi="Courier New" w:eastAsia="仿宋_GB2312"/>
          <w:kern w:val="2"/>
          <w:sz w:val="28"/>
          <w:szCs w:val="28"/>
        </w:rPr>
        <w:t>。</w:t>
      </w:r>
    </w:p>
    <w:tbl>
      <w:tblPr>
        <w:tblStyle w:val="8"/>
        <w:tblW w:w="8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2"/>
        <w:gridCol w:w="2977"/>
        <w:gridCol w:w="297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4"/>
              <w:snapToGrid w:val="0"/>
              <w:spacing w:before="0" w:after="0" w:line="300" w:lineRule="auto"/>
              <w:jc w:val="center"/>
              <w:rPr>
                <w:rStyle w:val="17"/>
                <w:rFonts w:ascii="仿宋_GB2312" w:eastAsia="仿宋_GB2312"/>
                <w:b/>
                <w:kern w:val="2"/>
                <w:sz w:val="28"/>
                <w:szCs w:val="28"/>
              </w:rPr>
            </w:pPr>
            <w:r>
              <w:rPr>
                <w:rStyle w:val="17"/>
                <w:rFonts w:ascii="仿宋_GB2312" w:eastAsia="仿宋_GB2312"/>
                <w:b/>
                <w:kern w:val="2"/>
                <w:sz w:val="28"/>
                <w:szCs w:val="28"/>
              </w:rPr>
              <w:t>时 间</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34"/>
              <w:snapToGrid w:val="0"/>
              <w:spacing w:before="0" w:after="312" w:line="300" w:lineRule="auto"/>
              <w:jc w:val="center"/>
              <w:rPr>
                <w:rStyle w:val="17"/>
                <w:rFonts w:ascii="仿宋_GB2312" w:eastAsia="仿宋_GB2312"/>
                <w:b/>
                <w:kern w:val="2"/>
                <w:sz w:val="28"/>
                <w:szCs w:val="28"/>
              </w:rPr>
            </w:pPr>
            <w:r>
              <w:rPr>
                <w:rStyle w:val="17"/>
                <w:rFonts w:ascii="仿宋_GB2312" w:eastAsia="仿宋_GB2312"/>
                <w:b/>
                <w:kern w:val="2"/>
                <w:sz w:val="28"/>
                <w:szCs w:val="28"/>
              </w:rPr>
              <w:t>受处理的原因</w:t>
            </w:r>
          </w:p>
          <w:p>
            <w:pPr>
              <w:pStyle w:val="34"/>
              <w:snapToGrid w:val="0"/>
              <w:spacing w:before="312" w:after="0" w:line="300" w:lineRule="auto"/>
              <w:jc w:val="center"/>
              <w:rPr>
                <w:rStyle w:val="17"/>
                <w:rFonts w:ascii="仿宋_GB2312" w:eastAsia="仿宋_GB2312"/>
                <w:kern w:val="2"/>
                <w:sz w:val="28"/>
                <w:szCs w:val="28"/>
              </w:rPr>
            </w:pPr>
            <w:r>
              <w:rPr>
                <w:rStyle w:val="17"/>
                <w:rFonts w:ascii="仿宋_GB2312" w:eastAsia="仿宋_GB2312"/>
                <w:kern w:val="2"/>
                <w:sz w:val="28"/>
                <w:szCs w:val="28"/>
              </w:rPr>
              <w:t>（如在政府采购活动中受处理的，注明采购项目名称及处理原因）</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34"/>
              <w:snapToGrid w:val="0"/>
              <w:spacing w:before="0" w:after="312" w:line="300" w:lineRule="auto"/>
              <w:jc w:val="center"/>
              <w:rPr>
                <w:rStyle w:val="17"/>
                <w:rFonts w:ascii="仿宋_GB2312" w:eastAsia="仿宋_GB2312"/>
                <w:b/>
                <w:kern w:val="2"/>
                <w:sz w:val="28"/>
                <w:szCs w:val="28"/>
              </w:rPr>
            </w:pPr>
            <w:r>
              <w:rPr>
                <w:rStyle w:val="17"/>
                <w:rFonts w:ascii="仿宋_GB2312" w:eastAsia="仿宋_GB2312"/>
                <w:b/>
                <w:kern w:val="2"/>
                <w:sz w:val="28"/>
                <w:szCs w:val="28"/>
              </w:rPr>
              <w:t>处理的内容</w:t>
            </w:r>
          </w:p>
          <w:p>
            <w:pPr>
              <w:pStyle w:val="34"/>
              <w:snapToGrid w:val="0"/>
              <w:spacing w:before="312" w:after="0" w:line="300" w:lineRule="auto"/>
              <w:jc w:val="center"/>
              <w:rPr>
                <w:rStyle w:val="17"/>
                <w:rFonts w:ascii="仿宋_GB2312" w:eastAsia="仿宋_GB2312"/>
                <w:kern w:val="2"/>
                <w:sz w:val="28"/>
                <w:szCs w:val="28"/>
              </w:rPr>
            </w:pPr>
            <w:r>
              <w:rPr>
                <w:rStyle w:val="17"/>
                <w:rFonts w:ascii="仿宋_GB2312" w:eastAsia="仿宋_GB2312"/>
                <w:kern w:val="2"/>
                <w:sz w:val="28"/>
                <w:szCs w:val="28"/>
              </w:rPr>
              <w:t>（如受到禁止一段时期参加某种项目的政府采购活动的，要说明解禁时间）</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34"/>
              <w:snapToGrid w:val="0"/>
              <w:spacing w:before="0" w:after="0" w:line="300" w:lineRule="auto"/>
              <w:jc w:val="center"/>
              <w:rPr>
                <w:rStyle w:val="17"/>
                <w:rFonts w:ascii="仿宋_GB2312" w:eastAsia="仿宋_GB2312"/>
                <w:b/>
                <w:kern w:val="2"/>
                <w:sz w:val="28"/>
                <w:szCs w:val="28"/>
              </w:rPr>
            </w:pPr>
            <w:r>
              <w:rPr>
                <w:rStyle w:val="17"/>
                <w:rFonts w:ascii="仿宋_GB2312" w:eastAsia="仿宋_GB2312"/>
                <w:b/>
                <w:kern w:val="2"/>
                <w:sz w:val="28"/>
                <w:szCs w:val="2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jc w:val="center"/>
        </w:trPr>
        <w:tc>
          <w:tcPr>
            <w:tcW w:w="1242" w:type="dxa"/>
            <w:tcBorders>
              <w:top w:val="single" w:color="000000" w:sz="4" w:space="0"/>
              <w:left w:val="single" w:color="000000" w:sz="4" w:space="0"/>
              <w:bottom w:val="single" w:color="000000" w:sz="4" w:space="0"/>
              <w:right w:val="single" w:color="000000" w:sz="4" w:space="0"/>
            </w:tcBorders>
          </w:tcPr>
          <w:p>
            <w:pPr>
              <w:pStyle w:val="34"/>
              <w:snapToGrid w:val="0"/>
              <w:spacing w:before="0" w:after="0" w:line="300" w:lineRule="auto"/>
              <w:rPr>
                <w:rStyle w:val="17"/>
                <w:rFonts w:ascii="仿宋_GB2312" w:eastAsia="仿宋_GB2312"/>
                <w:kern w:val="2"/>
                <w:sz w:val="28"/>
                <w:szCs w:val="28"/>
              </w:rPr>
            </w:pPr>
          </w:p>
        </w:tc>
        <w:tc>
          <w:tcPr>
            <w:tcW w:w="2977" w:type="dxa"/>
            <w:tcBorders>
              <w:top w:val="single" w:color="000000" w:sz="4" w:space="0"/>
              <w:left w:val="single" w:color="000000" w:sz="4" w:space="0"/>
              <w:bottom w:val="single" w:color="000000" w:sz="4" w:space="0"/>
              <w:right w:val="single" w:color="000000" w:sz="4" w:space="0"/>
            </w:tcBorders>
          </w:tcPr>
          <w:p>
            <w:pPr>
              <w:pStyle w:val="34"/>
              <w:snapToGrid w:val="0"/>
              <w:spacing w:before="0" w:after="0" w:line="300" w:lineRule="auto"/>
              <w:rPr>
                <w:rStyle w:val="17"/>
                <w:rFonts w:ascii="仿宋_GB2312" w:eastAsia="仿宋_GB2312"/>
                <w:kern w:val="2"/>
                <w:sz w:val="28"/>
                <w:szCs w:val="28"/>
              </w:rPr>
            </w:pPr>
          </w:p>
        </w:tc>
        <w:tc>
          <w:tcPr>
            <w:tcW w:w="2977" w:type="dxa"/>
            <w:tcBorders>
              <w:top w:val="single" w:color="000000" w:sz="4" w:space="0"/>
              <w:left w:val="single" w:color="000000" w:sz="4" w:space="0"/>
              <w:bottom w:val="single" w:color="000000" w:sz="4" w:space="0"/>
              <w:right w:val="single" w:color="000000" w:sz="4" w:space="0"/>
            </w:tcBorders>
          </w:tcPr>
          <w:p>
            <w:pPr>
              <w:pStyle w:val="34"/>
              <w:snapToGrid w:val="0"/>
              <w:spacing w:before="0" w:after="0" w:line="300" w:lineRule="auto"/>
              <w:rPr>
                <w:rStyle w:val="17"/>
                <w:rFonts w:ascii="仿宋_GB2312" w:eastAsia="仿宋_GB2312"/>
                <w:kern w:val="2"/>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pStyle w:val="34"/>
              <w:snapToGrid w:val="0"/>
              <w:spacing w:before="0" w:after="0" w:line="300" w:lineRule="auto"/>
              <w:rPr>
                <w:rStyle w:val="17"/>
                <w:rFonts w:ascii="仿宋_GB2312" w:eastAsia="仿宋_GB2312"/>
                <w:kern w:val="2"/>
                <w:sz w:val="28"/>
                <w:szCs w:val="28"/>
              </w:rPr>
            </w:pPr>
          </w:p>
        </w:tc>
      </w:tr>
    </w:tbl>
    <w:p>
      <w:pPr>
        <w:rPr>
          <w:rStyle w:val="17"/>
        </w:rPr>
      </w:pPr>
    </w:p>
    <w:p>
      <w:pPr>
        <w:pStyle w:val="34"/>
        <w:spacing w:before="0" w:after="0" w:line="560" w:lineRule="exact"/>
        <w:jc w:val="center"/>
        <w:rPr>
          <w:rStyle w:val="17"/>
          <w:rFonts w:ascii="黑体" w:hAnsi="黑体"/>
          <w:sz w:val="30"/>
          <w:szCs w:val="30"/>
          <w:lang w:val="en-GB"/>
        </w:rPr>
      </w:pPr>
      <w:r>
        <w:rPr>
          <w:rStyle w:val="17"/>
          <w:rFonts w:ascii="黑体" w:hAnsi="黑体"/>
          <w:sz w:val="30"/>
          <w:szCs w:val="30"/>
          <w:lang w:val="en-GB"/>
        </w:rPr>
        <w:br w:type="textWrapping"/>
      </w:r>
    </w:p>
    <w:p>
      <w:pPr>
        <w:pStyle w:val="34"/>
        <w:spacing w:before="0" w:after="0" w:line="560" w:lineRule="exact"/>
        <w:jc w:val="center"/>
        <w:rPr>
          <w:rStyle w:val="17"/>
          <w:rFonts w:hAnsi="Times New Roman"/>
          <w:b/>
          <w:sz w:val="32"/>
          <w:szCs w:val="32"/>
        </w:rPr>
      </w:pPr>
      <w:r>
        <w:rPr>
          <w:rStyle w:val="17"/>
          <w:rFonts w:hAnsi="Times New Roman"/>
          <w:b/>
          <w:kern w:val="2"/>
          <w:sz w:val="32"/>
          <w:szCs w:val="32"/>
        </w:rPr>
        <w:t>法定代表人身份证明</w:t>
      </w:r>
    </w:p>
    <w:p>
      <w:pPr>
        <w:spacing w:line="480" w:lineRule="exact"/>
        <w:rPr>
          <w:rStyle w:val="17"/>
          <w:rFonts w:eastAsia="仿宋_GB2312"/>
          <w:sz w:val="24"/>
        </w:rPr>
      </w:pPr>
    </w:p>
    <w:p>
      <w:pPr>
        <w:spacing w:line="480" w:lineRule="exact"/>
        <w:ind w:firstLine="480" w:firstLineChars="200"/>
        <w:rPr>
          <w:rStyle w:val="17"/>
          <w:rFonts w:eastAsia="仿宋_GB2312"/>
          <w:sz w:val="24"/>
        </w:rPr>
      </w:pPr>
      <w:r>
        <w:rPr>
          <w:rStyle w:val="17"/>
          <w:rFonts w:eastAsia="仿宋_GB2312"/>
          <w:sz w:val="24"/>
          <w:highlight w:val="white"/>
          <w:u w:val="single" w:color="000000"/>
        </w:rPr>
        <w:t xml:space="preserve">        </w:t>
      </w:r>
      <w:r>
        <w:rPr>
          <w:rStyle w:val="17"/>
          <w:rFonts w:eastAsia="仿宋_GB2312"/>
          <w:sz w:val="24"/>
          <w:highlight w:val="white"/>
        </w:rPr>
        <w:t>先生/女士： 现任我单位</w:t>
      </w:r>
      <w:r>
        <w:rPr>
          <w:rStyle w:val="17"/>
          <w:rFonts w:eastAsia="仿宋_GB2312"/>
          <w:sz w:val="24"/>
          <w:highlight w:val="white"/>
          <w:u w:val="single" w:color="000000"/>
        </w:rPr>
        <w:t xml:space="preserve">        </w:t>
      </w:r>
      <w:r>
        <w:rPr>
          <w:rStyle w:val="17"/>
          <w:rFonts w:eastAsia="仿宋_GB2312"/>
          <w:sz w:val="24"/>
          <w:highlight w:val="white"/>
        </w:rPr>
        <w:t>职务，为法定代表人，特此证明。</w:t>
      </w:r>
    </w:p>
    <w:p>
      <w:pPr>
        <w:spacing w:line="480" w:lineRule="exact"/>
        <w:ind w:firstLine="480"/>
        <w:rPr>
          <w:rStyle w:val="17"/>
          <w:rFonts w:eastAsia="仿宋_GB2312"/>
          <w:sz w:val="24"/>
          <w:u w:val="single"/>
        </w:rPr>
      </w:pPr>
      <w:r>
        <w:rPr>
          <w:rStyle w:val="17"/>
          <w:rFonts w:eastAsia="仿宋_GB2312"/>
          <w:sz w:val="24"/>
        </w:rPr>
        <w:t>身份证号码：</w:t>
      </w:r>
      <w:r>
        <w:rPr>
          <w:rStyle w:val="17"/>
          <w:rFonts w:eastAsia="仿宋_GB2312"/>
          <w:sz w:val="24"/>
          <w:highlight w:val="white"/>
          <w:u w:val="single" w:color="000000"/>
        </w:rPr>
        <w:t xml:space="preserve">                                               </w:t>
      </w:r>
    </w:p>
    <w:p>
      <w:pPr>
        <w:spacing w:line="480" w:lineRule="exact"/>
        <w:ind w:firstLine="480"/>
        <w:rPr>
          <w:rStyle w:val="17"/>
          <w:rFonts w:eastAsia="仿宋_GB2312"/>
          <w:sz w:val="24"/>
        </w:rPr>
      </w:pPr>
    </w:p>
    <w:p>
      <w:pPr>
        <w:pStyle w:val="62"/>
        <w:spacing w:line="600" w:lineRule="exact"/>
        <w:rPr>
          <w:rStyle w:val="17"/>
          <w:rFonts w:ascii="仿宋_GB2312" w:eastAsia="仿宋_GB2312"/>
          <w:b/>
          <w:sz w:val="24"/>
        </w:rPr>
      </w:pPr>
      <w:r>
        <w:rPr>
          <w:rStyle w:val="17"/>
          <w:rFonts w:ascii="仿宋_GB2312" w:eastAsia="仿宋_GB2312"/>
          <w:b/>
          <w:sz w:val="24"/>
        </w:rPr>
        <w:t>注：提供法定代表人的身份证复印件盖公章</w:t>
      </w:r>
    </w:p>
    <w:p>
      <w:pPr>
        <w:spacing w:line="480" w:lineRule="exact"/>
        <w:ind w:firstLine="480" w:firstLineChars="200"/>
        <w:rPr>
          <w:rStyle w:val="17"/>
          <w:rFonts w:eastAsia="仿宋_GB2312"/>
          <w:sz w:val="24"/>
        </w:rPr>
      </w:pPr>
    </w:p>
    <w:p>
      <w:pPr>
        <w:rPr>
          <w:rStyle w:val="17"/>
        </w:rPr>
      </w:pPr>
    </w:p>
    <w:p>
      <w:pPr>
        <w:pStyle w:val="58"/>
        <w:spacing w:line="560" w:lineRule="exact"/>
        <w:jc w:val="center"/>
        <w:rPr>
          <w:rStyle w:val="17"/>
          <w:rFonts w:ascii="黑体" w:hAnsi="黑体"/>
          <w:sz w:val="30"/>
          <w:szCs w:val="30"/>
          <w:lang w:val="en-GB"/>
        </w:rPr>
      </w:pPr>
      <w:r>
        <w:rPr>
          <w:rStyle w:val="17"/>
          <w:rFonts w:ascii="黑体" w:hAnsi="黑体"/>
          <w:sz w:val="30"/>
          <w:szCs w:val="30"/>
          <w:lang w:val="en-GB"/>
        </w:rPr>
        <w:br w:type="textWrapping"/>
      </w:r>
    </w:p>
    <w:p>
      <w:pPr>
        <w:pStyle w:val="58"/>
        <w:spacing w:line="560" w:lineRule="exact"/>
        <w:jc w:val="center"/>
        <w:rPr>
          <w:rStyle w:val="17"/>
          <w:rFonts w:ascii="宋体"/>
          <w:b/>
          <w:sz w:val="32"/>
          <w:szCs w:val="32"/>
        </w:rPr>
      </w:pPr>
      <w:r>
        <w:rPr>
          <w:rStyle w:val="17"/>
          <w:rFonts w:ascii="宋体"/>
          <w:b/>
          <w:sz w:val="32"/>
          <w:szCs w:val="32"/>
        </w:rPr>
        <w:t>授权委托书</w:t>
      </w:r>
    </w:p>
    <w:p>
      <w:pPr>
        <w:pStyle w:val="58"/>
        <w:spacing w:line="600" w:lineRule="exact"/>
        <w:rPr>
          <w:rStyle w:val="17"/>
          <w:rFonts w:ascii="方正大标宋简体" w:hAnsi="方正大标宋简体" w:eastAsia="方正大标宋简体"/>
          <w:sz w:val="32"/>
        </w:rPr>
      </w:pPr>
    </w:p>
    <w:p>
      <w:pPr>
        <w:pStyle w:val="60"/>
        <w:spacing w:line="360" w:lineRule="auto"/>
        <w:ind w:firstLine="560"/>
        <w:rPr>
          <w:rStyle w:val="17"/>
          <w:rFonts w:ascii="宋体" w:hAnsi="宋体"/>
          <w:szCs w:val="24"/>
        </w:rPr>
      </w:pPr>
      <w:r>
        <w:rPr>
          <w:rStyle w:val="17"/>
          <w:rFonts w:ascii="宋体" w:hAnsi="宋体"/>
          <w:szCs w:val="24"/>
        </w:rPr>
        <w:t>本授权书声明：____________（供应商名称）授权________________（被授权人的姓名）为我方就        （项目编号）项目采购活动的合法代理人，以本公司名义全权处理一切与该项目采购有关的事务。</w:t>
      </w:r>
    </w:p>
    <w:p>
      <w:pPr>
        <w:pStyle w:val="60"/>
        <w:spacing w:line="360" w:lineRule="auto"/>
        <w:ind w:firstLine="560"/>
        <w:rPr>
          <w:rStyle w:val="17"/>
          <w:rFonts w:ascii="宋体" w:hAnsi="宋体"/>
          <w:szCs w:val="24"/>
        </w:rPr>
      </w:pPr>
      <w:r>
        <w:rPr>
          <w:rStyle w:val="17"/>
          <w:rFonts w:ascii="宋体" w:hAnsi="宋体"/>
          <w:szCs w:val="24"/>
        </w:rPr>
        <w:t>本授权书于______年____月____日起生效，特此声明。</w:t>
      </w:r>
    </w:p>
    <w:p>
      <w:pPr>
        <w:pStyle w:val="60"/>
        <w:spacing w:line="360" w:lineRule="auto"/>
        <w:ind w:firstLine="560"/>
        <w:rPr>
          <w:rStyle w:val="17"/>
          <w:rFonts w:ascii="宋体" w:hAnsi="宋体"/>
          <w:szCs w:val="24"/>
        </w:rPr>
      </w:pPr>
      <w:r>
        <w:rPr>
          <w:rStyle w:val="17"/>
          <w:rFonts w:ascii="宋体" w:hAnsi="宋体"/>
          <w:szCs w:val="24"/>
        </w:rPr>
        <w:t xml:space="preserve">          代理人（被授权人）：_______________________</w:t>
      </w:r>
    </w:p>
    <w:p>
      <w:pPr>
        <w:pStyle w:val="60"/>
        <w:spacing w:line="360" w:lineRule="auto"/>
        <w:ind w:firstLine="560"/>
        <w:rPr>
          <w:rStyle w:val="17"/>
          <w:rFonts w:ascii="宋体" w:hAnsi="宋体"/>
          <w:szCs w:val="24"/>
        </w:rPr>
      </w:pPr>
      <w:r>
        <w:rPr>
          <w:rStyle w:val="17"/>
          <w:rFonts w:ascii="宋体" w:hAnsi="宋体"/>
          <w:szCs w:val="24"/>
        </w:rPr>
        <w:t xml:space="preserve">         </w:t>
      </w:r>
    </w:p>
    <w:p>
      <w:pPr>
        <w:pStyle w:val="60"/>
        <w:spacing w:line="360" w:lineRule="auto"/>
        <w:ind w:firstLine="560"/>
        <w:rPr>
          <w:rStyle w:val="17"/>
          <w:rFonts w:ascii="宋体" w:hAnsi="宋体"/>
          <w:szCs w:val="24"/>
        </w:rPr>
      </w:pPr>
      <w:r>
        <w:rPr>
          <w:rStyle w:val="17"/>
          <w:rFonts w:ascii="宋体" w:hAnsi="宋体"/>
          <w:szCs w:val="24"/>
        </w:rPr>
        <w:t xml:space="preserve">          单位名称：_____________________________________</w:t>
      </w:r>
    </w:p>
    <w:p>
      <w:pPr>
        <w:pStyle w:val="60"/>
        <w:spacing w:line="360" w:lineRule="auto"/>
        <w:ind w:firstLine="560"/>
        <w:rPr>
          <w:rStyle w:val="17"/>
          <w:rFonts w:ascii="宋体" w:hAnsi="宋体"/>
          <w:szCs w:val="24"/>
        </w:rPr>
      </w:pPr>
      <w:r>
        <w:rPr>
          <w:rStyle w:val="17"/>
          <w:rFonts w:ascii="宋体" w:hAnsi="宋体"/>
          <w:szCs w:val="24"/>
        </w:rPr>
        <w:t xml:space="preserve">         </w:t>
      </w:r>
    </w:p>
    <w:p>
      <w:pPr>
        <w:pStyle w:val="60"/>
        <w:spacing w:line="360" w:lineRule="auto"/>
        <w:ind w:firstLine="560"/>
        <w:rPr>
          <w:rStyle w:val="17"/>
          <w:rFonts w:ascii="宋体" w:hAnsi="宋体"/>
          <w:szCs w:val="24"/>
        </w:rPr>
      </w:pPr>
      <w:r>
        <w:rPr>
          <w:rStyle w:val="17"/>
          <w:rFonts w:ascii="宋体" w:hAnsi="宋体"/>
          <w:szCs w:val="24"/>
        </w:rPr>
        <w:t xml:space="preserve">          授权单位盖章：_________________________________</w:t>
      </w:r>
    </w:p>
    <w:p>
      <w:pPr>
        <w:pStyle w:val="60"/>
        <w:spacing w:line="360" w:lineRule="auto"/>
        <w:ind w:firstLine="560"/>
        <w:rPr>
          <w:rStyle w:val="17"/>
          <w:rFonts w:ascii="宋体" w:hAnsi="宋体"/>
          <w:szCs w:val="24"/>
        </w:rPr>
      </w:pPr>
      <w:r>
        <w:rPr>
          <w:rStyle w:val="17"/>
          <w:rFonts w:ascii="宋体" w:hAnsi="宋体"/>
          <w:szCs w:val="24"/>
        </w:rPr>
        <w:t xml:space="preserve">         </w:t>
      </w:r>
    </w:p>
    <w:p>
      <w:pPr>
        <w:pStyle w:val="60"/>
        <w:spacing w:line="360" w:lineRule="auto"/>
        <w:ind w:firstLine="560"/>
        <w:rPr>
          <w:rStyle w:val="17"/>
          <w:rFonts w:ascii="宋体" w:hAnsi="宋体"/>
          <w:szCs w:val="24"/>
        </w:rPr>
      </w:pPr>
      <w:r>
        <w:rPr>
          <w:rStyle w:val="17"/>
          <w:rFonts w:ascii="宋体" w:hAnsi="宋体"/>
          <w:szCs w:val="24"/>
        </w:rPr>
        <w:t xml:space="preserve">          地址：_____________________________________</w:t>
      </w:r>
    </w:p>
    <w:p>
      <w:pPr>
        <w:pStyle w:val="60"/>
        <w:spacing w:line="360" w:lineRule="auto"/>
        <w:ind w:firstLine="560"/>
        <w:rPr>
          <w:rStyle w:val="17"/>
          <w:rFonts w:ascii="宋体" w:hAnsi="宋体"/>
          <w:szCs w:val="24"/>
        </w:rPr>
      </w:pPr>
      <w:r>
        <w:rPr>
          <w:rStyle w:val="17"/>
          <w:rFonts w:ascii="宋体" w:hAnsi="宋体"/>
          <w:szCs w:val="24"/>
        </w:rPr>
        <w:t xml:space="preserve">                                         </w:t>
      </w:r>
    </w:p>
    <w:p>
      <w:pPr>
        <w:pStyle w:val="60"/>
        <w:spacing w:line="360" w:lineRule="auto"/>
        <w:ind w:firstLine="560"/>
        <w:rPr>
          <w:rStyle w:val="17"/>
          <w:rFonts w:ascii="宋体" w:hAnsi="宋体"/>
          <w:szCs w:val="24"/>
        </w:rPr>
      </w:pPr>
      <w:r>
        <w:rPr>
          <w:rStyle w:val="17"/>
          <w:rFonts w:ascii="宋体" w:hAnsi="宋体"/>
          <w:szCs w:val="24"/>
        </w:rPr>
        <w:t xml:space="preserve">          日期：                    </w:t>
      </w:r>
    </w:p>
    <w:p>
      <w:pPr>
        <w:pStyle w:val="14"/>
        <w:spacing w:line="360" w:lineRule="auto"/>
        <w:rPr>
          <w:rStyle w:val="17"/>
          <w:rFonts w:ascii="宋体" w:hAnsi="宋体"/>
          <w:b/>
        </w:rPr>
      </w:pPr>
    </w:p>
    <w:p>
      <w:pPr>
        <w:pStyle w:val="65"/>
        <w:spacing w:line="560" w:lineRule="atLeast"/>
        <w:jc w:val="center"/>
        <w:rPr>
          <w:rStyle w:val="17"/>
          <w:rFonts w:ascii="宋体" w:hAnsi="宋体"/>
          <w:sz w:val="21"/>
        </w:rPr>
      </w:pPr>
    </w:p>
    <w:p>
      <w:pPr>
        <w:pStyle w:val="65"/>
        <w:spacing w:line="560" w:lineRule="atLeast"/>
        <w:jc w:val="center"/>
        <w:rPr>
          <w:rStyle w:val="17"/>
          <w:rFonts w:ascii="宋体" w:hAnsi="宋体"/>
          <w:sz w:val="21"/>
        </w:rPr>
      </w:pPr>
    </w:p>
    <w:p>
      <w:pPr>
        <w:pStyle w:val="65"/>
        <w:spacing w:line="560" w:lineRule="atLeast"/>
        <w:jc w:val="center"/>
        <w:rPr>
          <w:rStyle w:val="17"/>
          <w:rFonts w:ascii="宋体" w:hAnsi="宋体"/>
          <w:sz w:val="21"/>
        </w:rPr>
      </w:pPr>
    </w:p>
    <w:p>
      <w:pPr>
        <w:pStyle w:val="65"/>
        <w:spacing w:line="560" w:lineRule="atLeast"/>
        <w:jc w:val="center"/>
        <w:rPr>
          <w:rStyle w:val="17"/>
          <w:rFonts w:ascii="宋体" w:hAnsi="宋体"/>
          <w:sz w:val="21"/>
        </w:rPr>
      </w:pPr>
    </w:p>
    <w:p>
      <w:pPr>
        <w:pStyle w:val="65"/>
        <w:spacing w:line="560" w:lineRule="atLeast"/>
        <w:jc w:val="center"/>
        <w:rPr>
          <w:rStyle w:val="17"/>
          <w:rFonts w:ascii="宋体" w:hAnsi="宋体"/>
          <w:sz w:val="21"/>
        </w:rPr>
      </w:pPr>
    </w:p>
    <w:p>
      <w:pPr>
        <w:pStyle w:val="65"/>
        <w:spacing w:line="560" w:lineRule="atLeast"/>
        <w:jc w:val="center"/>
        <w:rPr>
          <w:rStyle w:val="17"/>
          <w:rFonts w:ascii="宋体" w:hAnsi="宋体"/>
          <w:sz w:val="21"/>
        </w:rPr>
      </w:pPr>
    </w:p>
    <w:p>
      <w:pPr>
        <w:pStyle w:val="65"/>
        <w:spacing w:line="560" w:lineRule="atLeast"/>
        <w:jc w:val="center"/>
        <w:rPr>
          <w:rStyle w:val="17"/>
          <w:rFonts w:ascii="宋体" w:hAnsi="宋体"/>
          <w:sz w:val="21"/>
        </w:rPr>
      </w:pPr>
    </w:p>
    <w:p>
      <w:pPr>
        <w:pStyle w:val="65"/>
        <w:spacing w:line="560" w:lineRule="atLeast"/>
        <w:jc w:val="center"/>
        <w:rPr>
          <w:rStyle w:val="17"/>
          <w:rFonts w:ascii="宋体" w:hAnsi="宋体"/>
          <w:sz w:val="21"/>
        </w:rPr>
      </w:pPr>
    </w:p>
    <w:p>
      <w:pPr>
        <w:pStyle w:val="65"/>
        <w:spacing w:line="560" w:lineRule="atLeast"/>
        <w:jc w:val="center"/>
        <w:rPr>
          <w:rStyle w:val="17"/>
          <w:rFonts w:ascii="宋体" w:hAnsi="宋体"/>
          <w:sz w:val="21"/>
        </w:rPr>
      </w:pPr>
    </w:p>
    <w:p>
      <w:pPr>
        <w:pStyle w:val="65"/>
        <w:spacing w:line="560" w:lineRule="atLeast"/>
        <w:jc w:val="center"/>
        <w:rPr>
          <w:rStyle w:val="17"/>
          <w:rFonts w:ascii="宋体" w:hAnsi="宋体" w:cs="宋体"/>
          <w:b/>
          <w:bCs/>
          <w:sz w:val="36"/>
          <w:szCs w:val="36"/>
        </w:rPr>
      </w:pPr>
      <w:r>
        <w:rPr>
          <w:rStyle w:val="17"/>
          <w:rFonts w:ascii="宋体" w:hAnsi="宋体" w:cs="宋体"/>
          <w:b/>
          <w:bCs/>
          <w:sz w:val="36"/>
          <w:szCs w:val="36"/>
        </w:rPr>
        <w:t>上一年度的财务状况报告承诺函</w:t>
      </w:r>
    </w:p>
    <w:p>
      <w:pPr>
        <w:jc w:val="center"/>
        <w:rPr>
          <w:rStyle w:val="17"/>
          <w:rFonts w:ascii="宋体" w:hAnsi="宋体" w:cs="宋体"/>
          <w:b/>
          <w:bCs/>
          <w:sz w:val="36"/>
          <w:szCs w:val="36"/>
        </w:rPr>
      </w:pPr>
    </w:p>
    <w:p>
      <w:pPr>
        <w:spacing w:line="480" w:lineRule="auto"/>
        <w:jc w:val="left"/>
        <w:rPr>
          <w:rStyle w:val="17"/>
          <w:rFonts w:ascii="宋体" w:hAnsi="宋体"/>
          <w:sz w:val="28"/>
          <w:szCs w:val="28"/>
        </w:rPr>
      </w:pPr>
      <w:r>
        <w:rPr>
          <w:rStyle w:val="17"/>
          <w:rFonts w:ascii="宋体" w:hAnsi="宋体"/>
          <w:sz w:val="28"/>
          <w:szCs w:val="28"/>
        </w:rPr>
        <w:t>南通市海门区人民检察院：</w:t>
      </w:r>
    </w:p>
    <w:p>
      <w:pPr>
        <w:spacing w:line="480" w:lineRule="auto"/>
        <w:ind w:firstLine="560"/>
        <w:jc w:val="left"/>
        <w:rPr>
          <w:rStyle w:val="17"/>
          <w:rFonts w:ascii="宋体" w:hAnsi="宋体"/>
          <w:sz w:val="28"/>
          <w:szCs w:val="28"/>
        </w:rPr>
      </w:pPr>
      <w:r>
        <w:rPr>
          <w:rStyle w:val="17"/>
          <w:rFonts w:ascii="宋体" w:hAnsi="宋体"/>
          <w:sz w:val="28"/>
          <w:szCs w:val="28"/>
        </w:rPr>
        <w:t>我单位</w:t>
      </w:r>
      <w:r>
        <w:rPr>
          <w:rStyle w:val="17"/>
          <w:rFonts w:ascii="宋体" w:hAnsi="宋体"/>
          <w:sz w:val="28"/>
          <w:szCs w:val="28"/>
          <w:u w:val="single" w:color="000000"/>
        </w:rPr>
        <w:t xml:space="preserve">                            </w:t>
      </w:r>
      <w:r>
        <w:rPr>
          <w:rStyle w:val="17"/>
          <w:rFonts w:ascii="宋体" w:hAnsi="宋体"/>
          <w:sz w:val="28"/>
          <w:szCs w:val="28"/>
        </w:rPr>
        <w:t>（供应商名称）郑重承诺：</w:t>
      </w:r>
    </w:p>
    <w:p>
      <w:pPr>
        <w:spacing w:line="480" w:lineRule="auto"/>
        <w:ind w:firstLine="560"/>
        <w:jc w:val="left"/>
        <w:rPr>
          <w:rStyle w:val="17"/>
          <w:rFonts w:ascii="宋体" w:hAnsi="宋体"/>
          <w:sz w:val="28"/>
          <w:szCs w:val="28"/>
        </w:rPr>
      </w:pPr>
      <w:r>
        <w:rPr>
          <w:rStyle w:val="17"/>
          <w:rFonts w:ascii="宋体" w:hAnsi="宋体"/>
          <w:sz w:val="28"/>
          <w:szCs w:val="28"/>
        </w:rPr>
        <w:t>贵方组织的</w:t>
      </w:r>
      <w:r>
        <w:rPr>
          <w:rStyle w:val="17"/>
          <w:rFonts w:ascii="宋体" w:hAnsi="宋体"/>
          <w:sz w:val="28"/>
          <w:szCs w:val="28"/>
          <w:u w:val="single" w:color="000000"/>
        </w:rPr>
        <w:t xml:space="preserve">                        </w:t>
      </w:r>
      <w:r>
        <w:rPr>
          <w:rStyle w:val="17"/>
          <w:rFonts w:ascii="宋体" w:hAnsi="宋体"/>
          <w:sz w:val="28"/>
          <w:szCs w:val="28"/>
        </w:rPr>
        <w:t>(项目名称），</w:t>
      </w:r>
      <w:r>
        <w:rPr>
          <w:rStyle w:val="17"/>
          <w:rFonts w:ascii="宋体" w:hAnsi="宋体"/>
          <w:sz w:val="28"/>
          <w:szCs w:val="28"/>
          <w:u w:val="single" w:color="000000"/>
        </w:rPr>
        <w:t xml:space="preserve">                        </w:t>
      </w:r>
      <w:r>
        <w:rPr>
          <w:rStyle w:val="17"/>
          <w:rFonts w:ascii="宋体" w:hAnsi="宋体"/>
          <w:sz w:val="28"/>
          <w:szCs w:val="28"/>
        </w:rPr>
        <w:t>(项目编号），我单位</w:t>
      </w:r>
      <w:r>
        <w:rPr>
          <w:rStyle w:val="17"/>
          <w:rFonts w:ascii="宋体" w:hAnsi="宋体"/>
          <w:sz w:val="28"/>
          <w:szCs w:val="28"/>
          <w:u w:val="single" w:color="000000"/>
        </w:rPr>
        <w:t xml:space="preserve">       </w:t>
      </w:r>
      <w:r>
        <w:rPr>
          <w:rStyle w:val="17"/>
          <w:rFonts w:ascii="宋体" w:hAnsi="宋体"/>
          <w:sz w:val="28"/>
          <w:szCs w:val="28"/>
        </w:rPr>
        <w:t>(在下划线上如实填写：有或没有）良好的商业信誉和健全的财务会计制度。我单位在收到中标通知书后3日内能提供上一年度的财务状况报告原件给采购人核查，否则，愿意被视为以虚假材料谋取中标。</w:t>
      </w:r>
    </w:p>
    <w:p>
      <w:pPr>
        <w:spacing w:line="480" w:lineRule="auto"/>
        <w:ind w:firstLine="560"/>
        <w:jc w:val="left"/>
        <w:rPr>
          <w:rStyle w:val="17"/>
          <w:rFonts w:ascii="宋体" w:hAnsi="宋体"/>
          <w:sz w:val="24"/>
        </w:rPr>
      </w:pPr>
    </w:p>
    <w:p>
      <w:pPr>
        <w:spacing w:line="480" w:lineRule="auto"/>
        <w:ind w:firstLine="560"/>
        <w:jc w:val="left"/>
        <w:rPr>
          <w:rStyle w:val="17"/>
          <w:rFonts w:ascii="宋体" w:hAnsi="宋体"/>
          <w:sz w:val="28"/>
          <w:szCs w:val="28"/>
        </w:rPr>
      </w:pPr>
    </w:p>
    <w:p>
      <w:pPr>
        <w:spacing w:line="480" w:lineRule="auto"/>
        <w:ind w:firstLine="560"/>
        <w:jc w:val="left"/>
        <w:rPr>
          <w:rStyle w:val="17"/>
          <w:rFonts w:ascii="宋体" w:hAnsi="宋体"/>
          <w:sz w:val="28"/>
          <w:szCs w:val="28"/>
        </w:rPr>
      </w:pPr>
    </w:p>
    <w:p>
      <w:pPr>
        <w:spacing w:line="480" w:lineRule="auto"/>
        <w:ind w:firstLine="560"/>
        <w:jc w:val="left"/>
        <w:rPr>
          <w:rStyle w:val="17"/>
          <w:rFonts w:ascii="宋体" w:hAnsi="宋体"/>
          <w:sz w:val="28"/>
          <w:szCs w:val="28"/>
        </w:rPr>
      </w:pPr>
      <w:r>
        <w:rPr>
          <w:rStyle w:val="17"/>
          <w:rFonts w:ascii="宋体" w:hAnsi="宋体"/>
          <w:sz w:val="28"/>
          <w:szCs w:val="28"/>
        </w:rPr>
        <w:t xml:space="preserve">            承诺人：（公章）</w:t>
      </w:r>
    </w:p>
    <w:p>
      <w:pPr>
        <w:spacing w:line="480" w:lineRule="auto"/>
        <w:ind w:firstLine="560"/>
        <w:jc w:val="left"/>
        <w:rPr>
          <w:rStyle w:val="17"/>
          <w:rFonts w:ascii="宋体" w:hAnsi="宋体"/>
          <w:sz w:val="28"/>
          <w:szCs w:val="28"/>
        </w:rPr>
      </w:pPr>
      <w:r>
        <w:rPr>
          <w:rStyle w:val="17"/>
          <w:rFonts w:ascii="宋体" w:hAnsi="宋体"/>
          <w:sz w:val="28"/>
          <w:szCs w:val="28"/>
        </w:rPr>
        <w:t xml:space="preserve">                           年    月   日</w:t>
      </w:r>
    </w:p>
    <w:p>
      <w:pPr>
        <w:spacing w:line="360" w:lineRule="auto"/>
        <w:jc w:val="center"/>
        <w:rPr>
          <w:rStyle w:val="17"/>
          <w:rFonts w:ascii="宋体" w:hAnsi="宋体" w:cs="宋体"/>
          <w:b/>
          <w:bCs/>
          <w:sz w:val="36"/>
          <w:szCs w:val="36"/>
        </w:rPr>
      </w:pPr>
    </w:p>
    <w:p>
      <w:pPr>
        <w:spacing w:line="360" w:lineRule="auto"/>
        <w:jc w:val="left"/>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pStyle w:val="65"/>
        <w:spacing w:line="560" w:lineRule="atLeast"/>
        <w:jc w:val="center"/>
        <w:rPr>
          <w:rStyle w:val="17"/>
          <w:b/>
          <w:kern w:val="2"/>
          <w:sz w:val="30"/>
          <w:szCs w:val="30"/>
        </w:rPr>
      </w:pPr>
      <w:r>
        <w:rPr>
          <w:rStyle w:val="17"/>
          <w:b/>
          <w:kern w:val="2"/>
          <w:sz w:val="30"/>
          <w:szCs w:val="30"/>
        </w:rPr>
        <w:br w:type="textWrapping"/>
      </w:r>
    </w:p>
    <w:p>
      <w:pPr>
        <w:pStyle w:val="65"/>
        <w:spacing w:line="560" w:lineRule="atLeast"/>
        <w:jc w:val="center"/>
        <w:rPr>
          <w:rStyle w:val="17"/>
          <w:rFonts w:ascii="宋体" w:hAnsi="宋体"/>
          <w:sz w:val="21"/>
        </w:rPr>
      </w:pPr>
    </w:p>
    <w:p>
      <w:pPr>
        <w:pStyle w:val="65"/>
        <w:spacing w:line="560" w:lineRule="atLeast"/>
        <w:jc w:val="center"/>
        <w:rPr>
          <w:rStyle w:val="17"/>
          <w:rFonts w:ascii="宋体" w:hAnsi="宋体" w:cs="宋体"/>
          <w:b/>
          <w:bCs/>
          <w:sz w:val="36"/>
          <w:szCs w:val="36"/>
        </w:rPr>
      </w:pPr>
      <w:r>
        <w:rPr>
          <w:rStyle w:val="17"/>
          <w:rFonts w:ascii="宋体" w:hAnsi="宋体" w:cs="宋体"/>
          <w:b/>
          <w:bCs/>
          <w:sz w:val="36"/>
          <w:szCs w:val="36"/>
        </w:rPr>
        <w:t>履行合同所必需的设备和专业技术能力承诺函</w:t>
      </w:r>
    </w:p>
    <w:p>
      <w:pPr>
        <w:jc w:val="center"/>
        <w:rPr>
          <w:rStyle w:val="17"/>
          <w:rFonts w:ascii="宋体" w:hAnsi="宋体" w:cs="宋体"/>
          <w:b/>
          <w:bCs/>
          <w:sz w:val="36"/>
          <w:szCs w:val="36"/>
        </w:rPr>
      </w:pPr>
    </w:p>
    <w:p>
      <w:pPr>
        <w:spacing w:line="480" w:lineRule="auto"/>
        <w:jc w:val="left"/>
        <w:rPr>
          <w:rStyle w:val="17"/>
          <w:rFonts w:ascii="宋体" w:hAnsi="宋体"/>
          <w:sz w:val="28"/>
          <w:szCs w:val="28"/>
        </w:rPr>
      </w:pPr>
      <w:r>
        <w:rPr>
          <w:rStyle w:val="17"/>
          <w:rFonts w:ascii="宋体" w:hAnsi="宋体"/>
          <w:sz w:val="28"/>
          <w:szCs w:val="28"/>
        </w:rPr>
        <w:t>南通市海门区人民检察院：</w:t>
      </w:r>
    </w:p>
    <w:p>
      <w:pPr>
        <w:spacing w:line="480" w:lineRule="auto"/>
        <w:ind w:firstLine="560"/>
        <w:jc w:val="left"/>
        <w:rPr>
          <w:rStyle w:val="17"/>
          <w:rFonts w:ascii="宋体" w:hAnsi="宋体"/>
          <w:sz w:val="28"/>
          <w:szCs w:val="28"/>
        </w:rPr>
      </w:pPr>
      <w:r>
        <w:rPr>
          <w:rStyle w:val="17"/>
          <w:rFonts w:ascii="宋体" w:hAnsi="宋体"/>
          <w:sz w:val="28"/>
          <w:szCs w:val="28"/>
        </w:rPr>
        <w:t>我单位</w:t>
      </w:r>
      <w:r>
        <w:rPr>
          <w:rStyle w:val="17"/>
          <w:rFonts w:ascii="宋体" w:hAnsi="宋体"/>
          <w:sz w:val="28"/>
          <w:szCs w:val="28"/>
          <w:u w:val="single" w:color="000000"/>
        </w:rPr>
        <w:t xml:space="preserve">                            </w:t>
      </w:r>
      <w:r>
        <w:rPr>
          <w:rStyle w:val="17"/>
          <w:rFonts w:ascii="宋体" w:hAnsi="宋体"/>
          <w:sz w:val="28"/>
          <w:szCs w:val="28"/>
        </w:rPr>
        <w:t>（供应商名称）郑重承诺：</w:t>
      </w:r>
    </w:p>
    <w:p>
      <w:pPr>
        <w:spacing w:line="480" w:lineRule="auto"/>
        <w:ind w:firstLine="560"/>
        <w:jc w:val="left"/>
        <w:rPr>
          <w:rStyle w:val="17"/>
          <w:rFonts w:ascii="宋体" w:hAnsi="宋体"/>
          <w:sz w:val="28"/>
          <w:szCs w:val="28"/>
        </w:rPr>
      </w:pPr>
      <w:r>
        <w:rPr>
          <w:rStyle w:val="17"/>
          <w:rFonts w:ascii="宋体" w:hAnsi="宋体"/>
          <w:sz w:val="28"/>
          <w:szCs w:val="28"/>
        </w:rPr>
        <w:t>贵方组织的</w:t>
      </w:r>
      <w:r>
        <w:rPr>
          <w:rStyle w:val="17"/>
          <w:rFonts w:ascii="宋体" w:hAnsi="宋体"/>
          <w:sz w:val="28"/>
          <w:szCs w:val="28"/>
          <w:u w:val="single" w:color="000000"/>
        </w:rPr>
        <w:t xml:space="preserve">                        </w:t>
      </w:r>
      <w:r>
        <w:rPr>
          <w:rStyle w:val="17"/>
          <w:rFonts w:ascii="宋体" w:hAnsi="宋体"/>
          <w:sz w:val="28"/>
          <w:szCs w:val="28"/>
        </w:rPr>
        <w:t>(项目名称），</w:t>
      </w:r>
      <w:r>
        <w:rPr>
          <w:rStyle w:val="17"/>
          <w:rFonts w:ascii="宋体" w:hAnsi="宋体"/>
          <w:sz w:val="28"/>
          <w:szCs w:val="28"/>
          <w:u w:val="single" w:color="000000"/>
        </w:rPr>
        <w:t xml:space="preserve">                        </w:t>
      </w:r>
      <w:r>
        <w:rPr>
          <w:rStyle w:val="17"/>
          <w:rFonts w:ascii="宋体" w:hAnsi="宋体"/>
          <w:sz w:val="28"/>
          <w:szCs w:val="28"/>
        </w:rPr>
        <w:t>(项目编号），我单位</w:t>
      </w:r>
      <w:r>
        <w:rPr>
          <w:rStyle w:val="17"/>
          <w:rFonts w:ascii="宋体" w:hAnsi="宋体"/>
          <w:sz w:val="28"/>
          <w:szCs w:val="28"/>
          <w:u w:val="single" w:color="000000"/>
        </w:rPr>
        <w:t xml:space="preserve">       </w:t>
      </w:r>
      <w:r>
        <w:rPr>
          <w:rStyle w:val="17"/>
          <w:rFonts w:ascii="宋体" w:hAnsi="宋体"/>
          <w:sz w:val="28"/>
          <w:szCs w:val="28"/>
        </w:rPr>
        <w:t>(在下划线上如实填写：有或没有）履行合同所必需的设备和专业技术能力。</w:t>
      </w:r>
    </w:p>
    <w:p>
      <w:pPr>
        <w:spacing w:line="480" w:lineRule="auto"/>
        <w:ind w:firstLine="560"/>
        <w:jc w:val="left"/>
        <w:rPr>
          <w:rStyle w:val="17"/>
          <w:rFonts w:ascii="宋体" w:hAnsi="宋体"/>
          <w:sz w:val="24"/>
        </w:rPr>
      </w:pPr>
    </w:p>
    <w:p>
      <w:pPr>
        <w:spacing w:line="480" w:lineRule="auto"/>
        <w:ind w:firstLine="560"/>
        <w:jc w:val="left"/>
        <w:rPr>
          <w:rStyle w:val="17"/>
          <w:rFonts w:ascii="宋体" w:hAnsi="宋体"/>
          <w:sz w:val="28"/>
          <w:szCs w:val="28"/>
        </w:rPr>
      </w:pPr>
    </w:p>
    <w:p>
      <w:pPr>
        <w:spacing w:line="480" w:lineRule="auto"/>
        <w:ind w:firstLine="560"/>
        <w:jc w:val="left"/>
        <w:rPr>
          <w:rStyle w:val="17"/>
          <w:rFonts w:ascii="宋体" w:hAnsi="宋体"/>
          <w:sz w:val="28"/>
          <w:szCs w:val="28"/>
        </w:rPr>
      </w:pPr>
    </w:p>
    <w:p>
      <w:pPr>
        <w:spacing w:line="480" w:lineRule="auto"/>
        <w:ind w:firstLine="560"/>
        <w:jc w:val="left"/>
        <w:rPr>
          <w:rStyle w:val="17"/>
          <w:rFonts w:ascii="宋体" w:hAnsi="宋体"/>
          <w:sz w:val="28"/>
          <w:szCs w:val="28"/>
        </w:rPr>
      </w:pPr>
      <w:r>
        <w:rPr>
          <w:rStyle w:val="17"/>
          <w:rFonts w:ascii="宋体" w:hAnsi="宋体"/>
          <w:sz w:val="28"/>
          <w:szCs w:val="28"/>
        </w:rPr>
        <w:t xml:space="preserve">            承诺人：（公章）</w:t>
      </w:r>
    </w:p>
    <w:p>
      <w:pPr>
        <w:spacing w:line="480" w:lineRule="auto"/>
        <w:ind w:firstLine="560"/>
        <w:jc w:val="left"/>
        <w:rPr>
          <w:rStyle w:val="17"/>
          <w:rFonts w:ascii="宋体" w:hAnsi="宋体"/>
          <w:sz w:val="28"/>
          <w:szCs w:val="28"/>
        </w:rPr>
      </w:pPr>
      <w:r>
        <w:rPr>
          <w:rStyle w:val="17"/>
          <w:rFonts w:ascii="宋体" w:hAnsi="宋体"/>
          <w:sz w:val="28"/>
          <w:szCs w:val="28"/>
        </w:rPr>
        <w:t xml:space="preserve">                           年    月   日</w:t>
      </w:r>
    </w:p>
    <w:p>
      <w:pPr>
        <w:spacing w:line="360" w:lineRule="auto"/>
        <w:jc w:val="center"/>
        <w:rPr>
          <w:rStyle w:val="17"/>
          <w:rFonts w:ascii="宋体" w:hAnsi="宋体" w:cs="宋体"/>
          <w:b/>
          <w:bCs/>
          <w:sz w:val="36"/>
          <w:szCs w:val="36"/>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pStyle w:val="34"/>
        <w:spacing w:before="0" w:after="0"/>
        <w:jc w:val="center"/>
        <w:rPr>
          <w:rStyle w:val="17"/>
          <w:b/>
          <w:kern w:val="2"/>
          <w:sz w:val="30"/>
          <w:szCs w:val="30"/>
        </w:rPr>
      </w:pPr>
      <w:r>
        <w:rPr>
          <w:rStyle w:val="17"/>
          <w:b/>
          <w:kern w:val="2"/>
          <w:sz w:val="30"/>
          <w:szCs w:val="30"/>
        </w:rPr>
        <w:br w:type="textWrapping"/>
      </w:r>
    </w:p>
    <w:p>
      <w:pPr>
        <w:pStyle w:val="34"/>
        <w:spacing w:before="0" w:after="0"/>
        <w:jc w:val="center"/>
        <w:rPr>
          <w:rStyle w:val="17"/>
          <w:b/>
        </w:rPr>
      </w:pPr>
      <w:r>
        <w:rPr>
          <w:rStyle w:val="17"/>
          <w:b/>
          <w:kern w:val="2"/>
          <w:sz w:val="30"/>
          <w:szCs w:val="30"/>
        </w:rPr>
        <w:t>参加政府采购活动前 3 年内在经营活动中没有重大违法记</w:t>
      </w:r>
      <w:r>
        <w:rPr>
          <w:rStyle w:val="17"/>
          <w:rFonts w:cs="宋体"/>
          <w:b/>
          <w:bCs/>
          <w:kern w:val="2"/>
          <w:sz w:val="30"/>
          <w:szCs w:val="30"/>
        </w:rPr>
        <w:t>录和失信记录的书面声明</w:t>
      </w:r>
    </w:p>
    <w:p>
      <w:pPr>
        <w:spacing w:line="460" w:lineRule="exact"/>
        <w:rPr>
          <w:rStyle w:val="17"/>
          <w:rFonts w:ascii="宋体" w:hAnsi="宋体"/>
          <w:b/>
          <w:sz w:val="44"/>
          <w:szCs w:val="44"/>
        </w:rPr>
      </w:pPr>
      <w:r>
        <w:rPr>
          <w:rStyle w:val="17"/>
          <w:rFonts w:ascii="宋体" w:hAnsi="宋体"/>
          <w:b/>
          <w:sz w:val="24"/>
          <w:szCs w:val="21"/>
        </w:rPr>
        <w:t xml:space="preserve">                       </w:t>
      </w:r>
      <w:r>
        <w:rPr>
          <w:rStyle w:val="17"/>
          <w:rFonts w:ascii="宋体" w:hAnsi="宋体"/>
          <w:b/>
          <w:sz w:val="44"/>
          <w:szCs w:val="44"/>
        </w:rPr>
        <w:t xml:space="preserve">   </w:t>
      </w:r>
    </w:p>
    <w:p>
      <w:pPr>
        <w:spacing w:line="460" w:lineRule="exact"/>
        <w:jc w:val="center"/>
        <w:rPr>
          <w:rStyle w:val="17"/>
          <w:rFonts w:ascii="宋体" w:hAnsi="宋体"/>
          <w:b/>
          <w:sz w:val="44"/>
          <w:szCs w:val="44"/>
        </w:rPr>
      </w:pPr>
      <w:r>
        <w:rPr>
          <w:rStyle w:val="17"/>
          <w:rFonts w:ascii="宋体" w:hAnsi="宋体"/>
          <w:b/>
          <w:sz w:val="44"/>
          <w:szCs w:val="44"/>
        </w:rPr>
        <w:t>声  明</w:t>
      </w:r>
    </w:p>
    <w:p>
      <w:pPr>
        <w:spacing w:line="460" w:lineRule="exact"/>
        <w:ind w:firstLine="881"/>
        <w:jc w:val="center"/>
        <w:rPr>
          <w:rStyle w:val="17"/>
          <w:rFonts w:ascii="宋体" w:hAnsi="宋体"/>
          <w:b/>
          <w:sz w:val="44"/>
          <w:szCs w:val="44"/>
        </w:rPr>
      </w:pPr>
    </w:p>
    <w:p>
      <w:pPr>
        <w:spacing w:line="480" w:lineRule="auto"/>
        <w:ind w:firstLine="560" w:firstLineChars="200"/>
        <w:jc w:val="left"/>
        <w:rPr>
          <w:rStyle w:val="17"/>
          <w:rFonts w:ascii="宋体" w:hAnsi="宋体"/>
          <w:sz w:val="28"/>
          <w:szCs w:val="28"/>
        </w:rPr>
      </w:pPr>
      <w:r>
        <w:rPr>
          <w:rStyle w:val="17"/>
          <w:rFonts w:ascii="宋体" w:hAnsi="宋体"/>
          <w:sz w:val="28"/>
          <w:szCs w:val="28"/>
        </w:rPr>
        <w:t>我公司郑重声明：参加本次政府采购活动前 3 年内，我公司在经营活动中没有因违法经营受到刑事处罚或者责令停产停业、吊销许可证或者执照、较大数额罚款等行政处罚。</w:t>
      </w:r>
    </w:p>
    <w:p>
      <w:pPr>
        <w:spacing w:line="480" w:lineRule="auto"/>
        <w:ind w:firstLine="560" w:firstLineChars="200"/>
        <w:jc w:val="left"/>
        <w:rPr>
          <w:rStyle w:val="17"/>
          <w:rFonts w:ascii="宋体" w:hAnsi="宋体"/>
          <w:sz w:val="28"/>
          <w:szCs w:val="28"/>
        </w:rPr>
      </w:pPr>
      <w:r>
        <w:rPr>
          <w:rStyle w:val="17"/>
          <w:rFonts w:ascii="宋体" w:hAnsi="宋体"/>
          <w:sz w:val="28"/>
          <w:szCs w:val="28"/>
        </w:rPr>
        <w:t>在询价截止时间节点，没有被“信用中国”网站（www.creditchina.gov.cn）列入失信被执行人、重大税收违法案件当事人名单、政府采购严重失信行为记录名单。</w:t>
      </w:r>
    </w:p>
    <w:p>
      <w:pPr>
        <w:spacing w:line="480" w:lineRule="auto"/>
        <w:ind w:firstLine="560" w:firstLineChars="200"/>
        <w:jc w:val="left"/>
        <w:rPr>
          <w:rStyle w:val="17"/>
          <w:rFonts w:ascii="宋体" w:hAnsi="宋体"/>
          <w:sz w:val="28"/>
          <w:szCs w:val="28"/>
        </w:rPr>
      </w:pPr>
    </w:p>
    <w:p>
      <w:pPr>
        <w:spacing w:line="480" w:lineRule="auto"/>
        <w:jc w:val="left"/>
        <w:rPr>
          <w:rStyle w:val="17"/>
          <w:rFonts w:ascii="宋体" w:hAnsi="宋体"/>
          <w:sz w:val="28"/>
          <w:szCs w:val="28"/>
        </w:rPr>
      </w:pPr>
      <w:r>
        <w:rPr>
          <w:rStyle w:val="17"/>
          <w:rFonts w:ascii="宋体" w:hAnsi="宋体"/>
          <w:sz w:val="28"/>
          <w:szCs w:val="28"/>
        </w:rPr>
        <w:t xml:space="preserve">                                 供应商名称（公章）：</w:t>
      </w:r>
    </w:p>
    <w:p>
      <w:pPr>
        <w:spacing w:line="480" w:lineRule="auto"/>
        <w:jc w:val="left"/>
        <w:rPr>
          <w:rStyle w:val="17"/>
          <w:rFonts w:ascii="宋体" w:hAnsi="宋体"/>
          <w:sz w:val="28"/>
          <w:szCs w:val="28"/>
        </w:rPr>
      </w:pPr>
      <w:r>
        <w:rPr>
          <w:rStyle w:val="17"/>
          <w:rFonts w:ascii="宋体" w:hAnsi="宋体"/>
          <w:sz w:val="28"/>
          <w:szCs w:val="28"/>
        </w:rPr>
        <w:t xml:space="preserve">                               </w:t>
      </w:r>
    </w:p>
    <w:p>
      <w:pPr>
        <w:spacing w:line="480" w:lineRule="auto"/>
        <w:jc w:val="left"/>
        <w:rPr>
          <w:rStyle w:val="17"/>
          <w:rFonts w:ascii="宋体" w:hAnsi="宋体"/>
          <w:sz w:val="28"/>
          <w:szCs w:val="28"/>
        </w:rPr>
      </w:pPr>
      <w:r>
        <w:rPr>
          <w:rStyle w:val="17"/>
          <w:rFonts w:ascii="宋体" w:hAnsi="宋体"/>
          <w:sz w:val="28"/>
          <w:szCs w:val="28"/>
        </w:rPr>
        <w:t xml:space="preserve">                                 日期：______年    月    日</w:t>
      </w:r>
    </w:p>
    <w:p>
      <w:pPr>
        <w:spacing w:line="480" w:lineRule="auto"/>
        <w:jc w:val="left"/>
        <w:rPr>
          <w:rStyle w:val="17"/>
          <w:rFonts w:ascii="宋体" w:hAnsi="宋体"/>
          <w:sz w:val="28"/>
          <w:szCs w:val="28"/>
        </w:rPr>
      </w:pPr>
    </w:p>
    <w:p>
      <w:pPr>
        <w:ind w:firstLine="560"/>
        <w:jc w:val="left"/>
        <w:rPr>
          <w:rStyle w:val="17"/>
          <w:rFonts w:ascii="宋体" w:hAnsi="宋体"/>
          <w:sz w:val="28"/>
          <w:szCs w:val="28"/>
        </w:rPr>
      </w:pPr>
    </w:p>
    <w:p>
      <w:pPr>
        <w:ind w:firstLine="641"/>
        <w:jc w:val="center"/>
        <w:rPr>
          <w:rStyle w:val="17"/>
        </w:rPr>
      </w:pPr>
      <w:r>
        <w:rPr>
          <w:rStyle w:val="17"/>
        </w:rPr>
        <w:br w:type="textWrapping"/>
      </w:r>
    </w:p>
    <w:p>
      <w:pPr>
        <w:ind w:firstLine="641"/>
        <w:jc w:val="center"/>
        <w:rPr>
          <w:rStyle w:val="17"/>
          <w:rFonts w:ascii="宋体" w:hAnsi="宋体"/>
          <w:b/>
          <w:sz w:val="32"/>
          <w:szCs w:val="32"/>
        </w:rPr>
      </w:pPr>
      <w:r>
        <w:rPr>
          <w:rStyle w:val="17"/>
          <w:rFonts w:ascii="宋体" w:hAnsi="宋体"/>
          <w:b/>
          <w:sz w:val="32"/>
          <w:szCs w:val="32"/>
        </w:rPr>
        <w:t>技术部分正负偏离表</w:t>
      </w:r>
    </w:p>
    <w:p>
      <w:pPr>
        <w:ind w:firstLine="641"/>
        <w:jc w:val="center"/>
        <w:rPr>
          <w:rStyle w:val="17"/>
          <w:rFonts w:ascii="宋体" w:hAnsi="宋体"/>
          <w:b/>
          <w:sz w:val="32"/>
          <w:szCs w:val="32"/>
        </w:rPr>
      </w:pPr>
    </w:p>
    <w:p>
      <w:pPr>
        <w:rPr>
          <w:rStyle w:val="17"/>
          <w:rFonts w:ascii="宋体" w:hAnsi="宋体"/>
          <w:sz w:val="24"/>
        </w:rPr>
      </w:pPr>
      <w:r>
        <w:rPr>
          <w:rStyle w:val="17"/>
          <w:rFonts w:ascii="宋体" w:hAnsi="宋体"/>
          <w:sz w:val="24"/>
        </w:rPr>
        <w:t xml:space="preserve">询价人全称（加盖公章）：       </w:t>
      </w:r>
    </w:p>
    <w:tbl>
      <w:tblPr>
        <w:tblStyle w:val="8"/>
        <w:tblW w:w="91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2852"/>
        <w:gridCol w:w="2852"/>
        <w:gridCol w:w="1307"/>
        <w:gridCol w:w="1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 w:val="24"/>
              </w:rPr>
            </w:pPr>
            <w:r>
              <w:rPr>
                <w:rStyle w:val="17"/>
                <w:rFonts w:ascii="宋体" w:hAnsi="宋体"/>
                <w:sz w:val="24"/>
              </w:rPr>
              <w:t>序号</w:t>
            </w:r>
          </w:p>
        </w:tc>
        <w:tc>
          <w:tcPr>
            <w:tcW w:w="2852" w:type="dxa"/>
            <w:tcBorders>
              <w:top w:val="single" w:color="000000" w:sz="4" w:space="0"/>
              <w:left w:val="single" w:color="000000" w:sz="4" w:space="0"/>
              <w:bottom w:val="single" w:color="000000" w:sz="4" w:space="0"/>
              <w:right w:val="single" w:color="000000" w:sz="4" w:space="0"/>
            </w:tcBorders>
            <w:vAlign w:val="center"/>
          </w:tcPr>
          <w:p>
            <w:pPr>
              <w:rPr>
                <w:rStyle w:val="17"/>
                <w:rFonts w:ascii="宋体" w:hAnsi="宋体"/>
                <w:sz w:val="24"/>
              </w:rPr>
            </w:pPr>
            <w:r>
              <w:rPr>
                <w:rStyle w:val="17"/>
                <w:rFonts w:ascii="宋体" w:hAnsi="宋体"/>
                <w:sz w:val="24"/>
              </w:rPr>
              <w:t>询价要求</w:t>
            </w:r>
          </w:p>
        </w:tc>
        <w:tc>
          <w:tcPr>
            <w:tcW w:w="2852" w:type="dxa"/>
            <w:tcBorders>
              <w:top w:val="single" w:color="000000" w:sz="4" w:space="0"/>
              <w:left w:val="single" w:color="000000" w:sz="4" w:space="0"/>
              <w:bottom w:val="single" w:color="000000" w:sz="4" w:space="0"/>
              <w:right w:val="single" w:color="000000" w:sz="4" w:space="0"/>
            </w:tcBorders>
            <w:vAlign w:val="center"/>
          </w:tcPr>
          <w:p>
            <w:pPr>
              <w:rPr>
                <w:rStyle w:val="17"/>
                <w:rFonts w:ascii="宋体" w:hAnsi="宋体"/>
                <w:sz w:val="24"/>
              </w:rPr>
            </w:pPr>
            <w:r>
              <w:rPr>
                <w:rStyle w:val="17"/>
                <w:rFonts w:ascii="宋体" w:hAnsi="宋体"/>
                <w:sz w:val="24"/>
              </w:rPr>
              <w:t>询价响应</w:t>
            </w:r>
          </w:p>
        </w:tc>
        <w:tc>
          <w:tcPr>
            <w:tcW w:w="1307" w:type="dxa"/>
            <w:tcBorders>
              <w:top w:val="single" w:color="000000" w:sz="4" w:space="0"/>
              <w:left w:val="single" w:color="000000" w:sz="4" w:space="0"/>
              <w:bottom w:val="single" w:color="000000" w:sz="4" w:space="0"/>
              <w:right w:val="single" w:color="000000" w:sz="4" w:space="0"/>
            </w:tcBorders>
            <w:vAlign w:val="center"/>
          </w:tcPr>
          <w:p>
            <w:pPr>
              <w:rPr>
                <w:rStyle w:val="17"/>
                <w:rFonts w:ascii="宋体" w:hAnsi="宋体"/>
                <w:sz w:val="24"/>
              </w:rPr>
            </w:pPr>
            <w:r>
              <w:rPr>
                <w:rStyle w:val="17"/>
                <w:rFonts w:ascii="宋体" w:hAnsi="宋体"/>
                <w:sz w:val="24"/>
              </w:rPr>
              <w:t>超出、符合或偏离</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 w:val="24"/>
              </w:rPr>
            </w:pPr>
            <w:r>
              <w:rPr>
                <w:rStyle w:val="17"/>
                <w:rFonts w:ascii="宋体" w:hAnsi="宋体"/>
                <w:sz w:val="24"/>
              </w:rP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307"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17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307"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17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307"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17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307"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17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307"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17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307"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17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307"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17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jc w:val="center"/>
        </w:trPr>
        <w:tc>
          <w:tcPr>
            <w:tcW w:w="98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2852"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307"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c>
          <w:tcPr>
            <w:tcW w:w="1174" w:type="dxa"/>
            <w:tcBorders>
              <w:top w:val="single" w:color="000000" w:sz="4" w:space="0"/>
              <w:left w:val="single" w:color="000000" w:sz="4" w:space="0"/>
              <w:bottom w:val="single" w:color="000000" w:sz="4" w:space="0"/>
              <w:right w:val="single" w:color="000000" w:sz="4" w:space="0"/>
            </w:tcBorders>
          </w:tcPr>
          <w:p>
            <w:pPr>
              <w:jc w:val="center"/>
              <w:rPr>
                <w:rStyle w:val="17"/>
                <w:rFonts w:ascii="宋体" w:hAnsi="宋体"/>
                <w:sz w:val="24"/>
              </w:rPr>
            </w:pPr>
          </w:p>
        </w:tc>
      </w:tr>
    </w:tbl>
    <w:p>
      <w:pPr>
        <w:rPr>
          <w:rStyle w:val="17"/>
          <w:rFonts w:ascii="宋体" w:hAnsi="宋体"/>
          <w:sz w:val="24"/>
        </w:rPr>
      </w:pPr>
      <w:r>
        <w:rPr>
          <w:rStyle w:val="17"/>
          <w:rFonts w:ascii="宋体" w:hAnsi="宋体"/>
          <w:sz w:val="24"/>
        </w:rPr>
        <w:t>法定代表人或授权代表签字：</w:t>
      </w:r>
    </w:p>
    <w:p>
      <w:pPr>
        <w:rPr>
          <w:rStyle w:val="17"/>
          <w:rFonts w:ascii="宋体" w:hAnsi="宋体"/>
          <w:sz w:val="24"/>
        </w:rPr>
      </w:pPr>
    </w:p>
    <w:p>
      <w:pPr>
        <w:rPr>
          <w:rStyle w:val="17"/>
          <w:rFonts w:ascii="宋体" w:hAnsi="宋体"/>
          <w:sz w:val="24"/>
        </w:rPr>
      </w:pPr>
    </w:p>
    <w:p>
      <w:pPr>
        <w:rPr>
          <w:rStyle w:val="17"/>
          <w:rFonts w:ascii="宋体" w:hAnsi="宋体"/>
          <w:sz w:val="24"/>
        </w:rPr>
      </w:pPr>
      <w:r>
        <w:rPr>
          <w:rStyle w:val="17"/>
          <w:rFonts w:ascii="宋体" w:hAnsi="宋体"/>
          <w:sz w:val="24"/>
        </w:rPr>
        <w:t>注：1、按照基本技术要求详细填列。</w:t>
      </w:r>
    </w:p>
    <w:p>
      <w:pPr>
        <w:ind w:firstLine="480" w:firstLineChars="200"/>
        <w:rPr>
          <w:rStyle w:val="17"/>
          <w:rFonts w:ascii="宋体" w:hAnsi="宋体"/>
          <w:sz w:val="24"/>
        </w:rPr>
      </w:pPr>
      <w:r>
        <w:rPr>
          <w:rStyle w:val="17"/>
          <w:rFonts w:ascii="宋体" w:hAnsi="宋体"/>
          <w:sz w:val="24"/>
        </w:rPr>
        <w:t>2、行数不够，可自行添加。</w:t>
      </w:r>
    </w:p>
    <w:p>
      <w:pPr>
        <w:rPr>
          <w:rStyle w:val="17"/>
        </w:rPr>
      </w:pPr>
    </w:p>
    <w:p>
      <w:pPr>
        <w:pStyle w:val="65"/>
        <w:spacing w:line="560" w:lineRule="atLeast"/>
        <w:jc w:val="both"/>
        <w:rPr>
          <w:rStyle w:val="17"/>
          <w:sz w:val="21"/>
        </w:rPr>
      </w:pPr>
    </w:p>
    <w:p>
      <w:pPr>
        <w:pStyle w:val="65"/>
        <w:spacing w:line="560" w:lineRule="atLeast"/>
        <w:jc w:val="both"/>
        <w:rPr>
          <w:rStyle w:val="17"/>
          <w:sz w:val="21"/>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spacing w:line="360" w:lineRule="auto"/>
        <w:jc w:val="center"/>
        <w:rPr>
          <w:rStyle w:val="17"/>
          <w:rFonts w:ascii="宋体" w:hAnsi="宋体"/>
          <w:b/>
          <w:sz w:val="32"/>
          <w:szCs w:val="32"/>
          <w:u w:val="single"/>
        </w:rPr>
      </w:pPr>
    </w:p>
    <w:p>
      <w:pPr>
        <w:jc w:val="center"/>
        <w:rPr>
          <w:rStyle w:val="17"/>
          <w:rFonts w:ascii="微软雅黑" w:hAnsi="微软雅黑" w:eastAsia="微软雅黑"/>
          <w:b/>
          <w:sz w:val="32"/>
          <w:szCs w:val="32"/>
        </w:rPr>
      </w:pPr>
      <w:r>
        <w:rPr>
          <w:rStyle w:val="17"/>
          <w:rFonts w:ascii="微软雅黑" w:hAnsi="微软雅黑" w:eastAsia="微软雅黑"/>
          <w:b/>
          <w:sz w:val="32"/>
          <w:szCs w:val="32"/>
        </w:rPr>
        <w:br w:type="textWrapping"/>
      </w:r>
    </w:p>
    <w:p>
      <w:pPr>
        <w:jc w:val="center"/>
        <w:rPr>
          <w:rStyle w:val="17"/>
          <w:rFonts w:ascii="宋体" w:hAnsi="宋体"/>
          <w:b/>
          <w:sz w:val="32"/>
          <w:szCs w:val="32"/>
        </w:rPr>
      </w:pPr>
      <w:r>
        <w:rPr>
          <w:rStyle w:val="17"/>
          <w:rFonts w:ascii="宋体" w:hAnsi="宋体"/>
          <w:b/>
          <w:sz w:val="32"/>
          <w:szCs w:val="32"/>
        </w:rPr>
        <w:t>商务部分正负偏离表</w:t>
      </w:r>
    </w:p>
    <w:p>
      <w:pPr>
        <w:jc w:val="center"/>
        <w:rPr>
          <w:rStyle w:val="17"/>
          <w:rFonts w:ascii="宋体" w:hAnsi="宋体"/>
          <w:sz w:val="24"/>
        </w:rPr>
      </w:pPr>
    </w:p>
    <w:p>
      <w:pPr>
        <w:rPr>
          <w:rStyle w:val="17"/>
          <w:rFonts w:ascii="宋体" w:hAnsi="宋体"/>
          <w:sz w:val="24"/>
        </w:rPr>
      </w:pPr>
      <w:r>
        <w:rPr>
          <w:rStyle w:val="17"/>
          <w:rFonts w:ascii="宋体" w:hAnsi="宋体"/>
          <w:sz w:val="24"/>
        </w:rPr>
        <w:t xml:space="preserve">询价人全称（加盖公章）：        </w:t>
      </w:r>
    </w:p>
    <w:tbl>
      <w:tblPr>
        <w:tblStyle w:val="8"/>
        <w:tblW w:w="8522" w:type="dxa"/>
        <w:jc w:val="center"/>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Layout w:type="fixed"/>
        <w:tblCellMar>
          <w:top w:w="0" w:type="dxa"/>
          <w:left w:w="0" w:type="dxa"/>
          <w:bottom w:w="0" w:type="dxa"/>
          <w:right w:w="0" w:type="dxa"/>
        </w:tblCellMar>
      </w:tblPr>
      <w:tblGrid>
        <w:gridCol w:w="1547"/>
        <w:gridCol w:w="2698"/>
        <w:gridCol w:w="1259"/>
        <w:gridCol w:w="3018"/>
      </w:tblGrid>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642" w:hRule="atLeast"/>
          <w:jc w:val="center"/>
        </w:trPr>
        <w:tc>
          <w:tcPr>
            <w:tcW w:w="1547"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r>
              <w:rPr>
                <w:rStyle w:val="17"/>
                <w:rFonts w:ascii="仿宋_GB2312" w:hAnsi="宋体"/>
                <w:sz w:val="24"/>
                <w:szCs w:val="21"/>
              </w:rPr>
              <w:t>项目</w:t>
            </w:r>
          </w:p>
        </w:tc>
        <w:tc>
          <w:tcPr>
            <w:tcW w:w="269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r>
              <w:rPr>
                <w:rStyle w:val="17"/>
                <w:rFonts w:ascii="仿宋_GB2312" w:hAnsi="宋体"/>
                <w:sz w:val="24"/>
                <w:szCs w:val="21"/>
              </w:rPr>
              <w:t>询价文件要求</w:t>
            </w:r>
          </w:p>
        </w:tc>
        <w:tc>
          <w:tcPr>
            <w:tcW w:w="1259"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r>
              <w:rPr>
                <w:rStyle w:val="17"/>
                <w:rFonts w:ascii="仿宋_GB2312" w:hAnsi="宋体"/>
                <w:sz w:val="24"/>
                <w:szCs w:val="21"/>
              </w:rPr>
              <w:t>是否响应</w:t>
            </w:r>
          </w:p>
        </w:tc>
        <w:tc>
          <w:tcPr>
            <w:tcW w:w="301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r>
              <w:rPr>
                <w:rStyle w:val="17"/>
                <w:rFonts w:ascii="仿宋_GB2312" w:hAnsi="宋体"/>
                <w:sz w:val="24"/>
                <w:szCs w:val="21"/>
              </w:rPr>
              <w:t>询价人的承诺或说明</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69" w:hRule="atLeast"/>
          <w:jc w:val="center"/>
        </w:trPr>
        <w:tc>
          <w:tcPr>
            <w:tcW w:w="1547"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r>
              <w:rPr>
                <w:rStyle w:val="17"/>
                <w:rFonts w:ascii="仿宋_GB2312" w:hAnsi="宋体"/>
                <w:sz w:val="24"/>
                <w:szCs w:val="21"/>
              </w:rPr>
              <w:t>质保期</w:t>
            </w:r>
          </w:p>
        </w:tc>
        <w:tc>
          <w:tcPr>
            <w:tcW w:w="269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1259"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301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719" w:hRule="atLeast"/>
          <w:jc w:val="center"/>
        </w:trPr>
        <w:tc>
          <w:tcPr>
            <w:tcW w:w="1547"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r>
              <w:rPr>
                <w:rStyle w:val="17"/>
                <w:rFonts w:ascii="仿宋_GB2312"/>
                <w:sz w:val="24"/>
                <w:szCs w:val="21"/>
              </w:rPr>
              <w:t>售后技术服务要求</w:t>
            </w:r>
          </w:p>
        </w:tc>
        <w:tc>
          <w:tcPr>
            <w:tcW w:w="269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1259"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301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540" w:hRule="atLeast"/>
          <w:jc w:val="center"/>
        </w:trPr>
        <w:tc>
          <w:tcPr>
            <w:tcW w:w="1547"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r>
              <w:rPr>
                <w:rStyle w:val="17"/>
                <w:rFonts w:ascii="仿宋_GB2312"/>
                <w:sz w:val="24"/>
                <w:szCs w:val="21"/>
              </w:rPr>
              <w:t>交货时间</w:t>
            </w:r>
          </w:p>
        </w:tc>
        <w:tc>
          <w:tcPr>
            <w:tcW w:w="269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r>
              <w:rPr>
                <w:rStyle w:val="17"/>
                <w:rFonts w:ascii="仿宋_GB2312" w:hAnsi="宋体"/>
                <w:sz w:val="24"/>
                <w:szCs w:val="21"/>
              </w:rPr>
              <w:t>合同签订后</w:t>
            </w:r>
            <w:r>
              <w:rPr>
                <w:rStyle w:val="17"/>
                <w:rFonts w:ascii="仿宋_GB2312" w:hAnsi="宋体"/>
                <w:sz w:val="24"/>
                <w:szCs w:val="21"/>
                <w:u w:val="single" w:color="000000"/>
              </w:rPr>
              <w:t xml:space="preserve">     </w:t>
            </w:r>
            <w:r>
              <w:rPr>
                <w:rStyle w:val="17"/>
                <w:rFonts w:ascii="仿宋_GB2312" w:hAnsi="宋体"/>
                <w:sz w:val="24"/>
                <w:szCs w:val="21"/>
              </w:rPr>
              <w:t>天内</w:t>
            </w:r>
            <w:r>
              <w:rPr>
                <w:rStyle w:val="17"/>
                <w:rFonts w:ascii="仿宋_GB2312" w:hAnsi="宋体"/>
                <w:sz w:val="24"/>
                <w:szCs w:val="21"/>
                <w:u w:val="single" w:color="000000"/>
              </w:rPr>
              <w:t xml:space="preserve"> </w:t>
            </w:r>
          </w:p>
        </w:tc>
        <w:tc>
          <w:tcPr>
            <w:tcW w:w="1259" w:type="dxa"/>
            <w:tcBorders>
              <w:top w:val="single" w:color="000000" w:sz="4" w:space="0"/>
              <w:left w:val="single" w:color="000000" w:sz="4" w:space="0"/>
              <w:bottom w:val="single" w:color="000000" w:sz="4" w:space="0"/>
              <w:right w:val="single" w:color="000000" w:sz="4" w:space="0"/>
            </w:tcBorders>
          </w:tcPr>
          <w:p>
            <w:pPr>
              <w:snapToGrid w:val="0"/>
              <w:spacing w:before="145"/>
              <w:ind w:left="43"/>
              <w:rPr>
                <w:rStyle w:val="17"/>
                <w:rFonts w:ascii="仿宋_GB2312" w:hAnsi="宋体" w:eastAsia="仿宋_GB2312"/>
                <w:sz w:val="24"/>
              </w:rPr>
            </w:pPr>
          </w:p>
        </w:tc>
        <w:tc>
          <w:tcPr>
            <w:tcW w:w="3018" w:type="dxa"/>
            <w:tcBorders>
              <w:top w:val="single" w:color="000000" w:sz="4" w:space="0"/>
              <w:left w:val="single" w:color="000000" w:sz="4" w:space="0"/>
              <w:bottom w:val="single" w:color="000000" w:sz="4" w:space="0"/>
              <w:right w:val="single" w:color="000000" w:sz="4" w:space="0"/>
            </w:tcBorders>
          </w:tcPr>
          <w:p>
            <w:pPr>
              <w:snapToGrid w:val="0"/>
              <w:spacing w:before="145"/>
              <w:ind w:left="43"/>
              <w:rPr>
                <w:rStyle w:val="17"/>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40" w:hRule="atLeast"/>
          <w:jc w:val="center"/>
        </w:trPr>
        <w:tc>
          <w:tcPr>
            <w:tcW w:w="1547"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sz w:val="24"/>
                <w:szCs w:val="21"/>
              </w:rPr>
            </w:pPr>
            <w:r>
              <w:rPr>
                <w:rStyle w:val="17"/>
                <w:rFonts w:ascii="仿宋_GB2312"/>
                <w:sz w:val="24"/>
                <w:szCs w:val="21"/>
              </w:rPr>
              <w:t>交货方式</w:t>
            </w:r>
          </w:p>
        </w:tc>
        <w:tc>
          <w:tcPr>
            <w:tcW w:w="269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sz w:val="24"/>
                <w:szCs w:val="21"/>
              </w:rPr>
            </w:pPr>
          </w:p>
          <w:p>
            <w:pPr>
              <w:snapToGrid w:val="0"/>
              <w:spacing w:before="145"/>
              <w:rPr>
                <w:rStyle w:val="17"/>
                <w:rFonts w:ascii="仿宋_GB2312" w:hAnsi="宋体"/>
                <w:sz w:val="24"/>
                <w:szCs w:val="21"/>
              </w:rPr>
            </w:pPr>
          </w:p>
        </w:tc>
        <w:tc>
          <w:tcPr>
            <w:tcW w:w="1259" w:type="dxa"/>
            <w:tcBorders>
              <w:top w:val="single" w:color="000000" w:sz="4" w:space="0"/>
              <w:left w:val="single" w:color="000000" w:sz="4" w:space="0"/>
              <w:bottom w:val="single" w:color="000000" w:sz="4" w:space="0"/>
              <w:right w:val="single" w:color="000000" w:sz="4" w:space="0"/>
            </w:tcBorders>
          </w:tcPr>
          <w:p>
            <w:pPr>
              <w:snapToGrid w:val="0"/>
              <w:spacing w:before="145"/>
              <w:ind w:left="43"/>
              <w:rPr>
                <w:rStyle w:val="17"/>
                <w:rFonts w:ascii="仿宋_GB2312" w:hAnsi="宋体" w:eastAsia="仿宋_GB2312"/>
                <w:sz w:val="24"/>
              </w:rPr>
            </w:pPr>
          </w:p>
        </w:tc>
        <w:tc>
          <w:tcPr>
            <w:tcW w:w="3018" w:type="dxa"/>
            <w:tcBorders>
              <w:top w:val="single" w:color="000000" w:sz="4" w:space="0"/>
              <w:left w:val="single" w:color="000000" w:sz="4" w:space="0"/>
              <w:bottom w:val="single" w:color="000000" w:sz="4" w:space="0"/>
              <w:right w:val="single" w:color="000000" w:sz="4" w:space="0"/>
            </w:tcBorders>
          </w:tcPr>
          <w:p>
            <w:pPr>
              <w:snapToGrid w:val="0"/>
              <w:spacing w:before="145"/>
              <w:ind w:left="43"/>
              <w:rPr>
                <w:rStyle w:val="17"/>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60" w:hRule="atLeast"/>
          <w:jc w:val="center"/>
        </w:trPr>
        <w:tc>
          <w:tcPr>
            <w:tcW w:w="1547"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sz w:val="24"/>
                <w:szCs w:val="21"/>
              </w:rPr>
            </w:pPr>
            <w:r>
              <w:rPr>
                <w:rStyle w:val="17"/>
                <w:rFonts w:ascii="仿宋_GB2312"/>
                <w:sz w:val="24"/>
                <w:szCs w:val="21"/>
              </w:rPr>
              <w:t>交货地点</w:t>
            </w:r>
          </w:p>
        </w:tc>
        <w:tc>
          <w:tcPr>
            <w:tcW w:w="269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sz w:val="24"/>
                <w:szCs w:val="21"/>
              </w:rPr>
            </w:pPr>
          </w:p>
          <w:p>
            <w:pPr>
              <w:snapToGrid w:val="0"/>
              <w:spacing w:before="145"/>
              <w:rPr>
                <w:rStyle w:val="17"/>
                <w:rFonts w:ascii="仿宋_GB2312" w:hAnsi="宋体"/>
                <w:sz w:val="24"/>
                <w:szCs w:val="21"/>
              </w:rPr>
            </w:pPr>
          </w:p>
        </w:tc>
        <w:tc>
          <w:tcPr>
            <w:tcW w:w="1259" w:type="dxa"/>
            <w:tcBorders>
              <w:top w:val="single" w:color="000000" w:sz="4" w:space="0"/>
              <w:left w:val="single" w:color="000000" w:sz="4" w:space="0"/>
              <w:bottom w:val="single" w:color="000000" w:sz="4" w:space="0"/>
              <w:right w:val="single" w:color="000000" w:sz="4" w:space="0"/>
            </w:tcBorders>
          </w:tcPr>
          <w:p>
            <w:pPr>
              <w:snapToGrid w:val="0"/>
              <w:spacing w:before="145"/>
              <w:ind w:left="43"/>
              <w:rPr>
                <w:rStyle w:val="17"/>
                <w:rFonts w:ascii="仿宋_GB2312" w:hAnsi="宋体" w:eastAsia="仿宋_GB2312"/>
                <w:sz w:val="24"/>
              </w:rPr>
            </w:pPr>
          </w:p>
        </w:tc>
        <w:tc>
          <w:tcPr>
            <w:tcW w:w="3018" w:type="dxa"/>
            <w:tcBorders>
              <w:top w:val="single" w:color="000000" w:sz="4" w:space="0"/>
              <w:left w:val="single" w:color="000000" w:sz="4" w:space="0"/>
              <w:bottom w:val="single" w:color="000000" w:sz="4" w:space="0"/>
              <w:right w:val="single" w:color="000000" w:sz="4" w:space="0"/>
            </w:tcBorders>
          </w:tcPr>
          <w:p>
            <w:pPr>
              <w:snapToGrid w:val="0"/>
              <w:spacing w:before="145"/>
              <w:ind w:left="43"/>
              <w:rPr>
                <w:rStyle w:val="17"/>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820" w:hRule="atLeast"/>
          <w:jc w:val="center"/>
        </w:trPr>
        <w:tc>
          <w:tcPr>
            <w:tcW w:w="1547"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r>
              <w:rPr>
                <w:rStyle w:val="17"/>
                <w:rFonts w:ascii="仿宋_GB2312" w:hAnsi="宋体"/>
                <w:sz w:val="24"/>
                <w:szCs w:val="21"/>
              </w:rPr>
              <w:t>付款方式</w:t>
            </w:r>
          </w:p>
        </w:tc>
        <w:tc>
          <w:tcPr>
            <w:tcW w:w="269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1259"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301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340" w:hRule="atLeast"/>
          <w:jc w:val="center"/>
        </w:trPr>
        <w:tc>
          <w:tcPr>
            <w:tcW w:w="1547"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宋体" w:hAnsi="宋体"/>
                <w:sz w:val="24"/>
              </w:rPr>
            </w:pPr>
            <w:r>
              <w:rPr>
                <w:rStyle w:val="17"/>
                <w:rFonts w:ascii="宋体" w:hAnsi="宋体"/>
                <w:sz w:val="24"/>
              </w:rPr>
              <w:t>询价货币</w:t>
            </w:r>
          </w:p>
        </w:tc>
        <w:tc>
          <w:tcPr>
            <w:tcW w:w="269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p>
            <w:pPr>
              <w:snapToGrid w:val="0"/>
              <w:spacing w:before="145"/>
              <w:rPr>
                <w:rStyle w:val="17"/>
                <w:rFonts w:ascii="仿宋_GB2312" w:hAnsi="宋体" w:eastAsia="仿宋_GB2312"/>
                <w:sz w:val="24"/>
              </w:rPr>
            </w:pPr>
          </w:p>
        </w:tc>
        <w:tc>
          <w:tcPr>
            <w:tcW w:w="1259"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301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00" w:hRule="atLeast"/>
          <w:jc w:val="center"/>
        </w:trPr>
        <w:tc>
          <w:tcPr>
            <w:tcW w:w="1547"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sz w:val="24"/>
                <w:szCs w:val="21"/>
              </w:rPr>
            </w:pPr>
            <w:r>
              <w:rPr>
                <w:rStyle w:val="17"/>
                <w:rFonts w:ascii="仿宋_GB2312"/>
                <w:sz w:val="24"/>
                <w:szCs w:val="21"/>
              </w:rPr>
              <w:t>备品备件及耗材等要求</w:t>
            </w:r>
          </w:p>
        </w:tc>
        <w:tc>
          <w:tcPr>
            <w:tcW w:w="269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1259"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301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jc w:val="center"/>
        </w:trPr>
        <w:tc>
          <w:tcPr>
            <w:tcW w:w="1547"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r>
              <w:rPr>
                <w:rStyle w:val="17"/>
                <w:rFonts w:ascii="仿宋_GB2312" w:hAnsi="宋体"/>
                <w:sz w:val="24"/>
                <w:szCs w:val="21"/>
              </w:rPr>
              <w:t>其他</w:t>
            </w:r>
          </w:p>
        </w:tc>
        <w:tc>
          <w:tcPr>
            <w:tcW w:w="269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1259"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c>
          <w:tcPr>
            <w:tcW w:w="3018" w:type="dxa"/>
            <w:tcBorders>
              <w:top w:val="single" w:color="000000" w:sz="4" w:space="0"/>
              <w:left w:val="single" w:color="000000" w:sz="4" w:space="0"/>
              <w:bottom w:val="single" w:color="000000" w:sz="4" w:space="0"/>
              <w:right w:val="single" w:color="000000" w:sz="4" w:space="0"/>
            </w:tcBorders>
          </w:tcPr>
          <w:p>
            <w:pPr>
              <w:snapToGrid w:val="0"/>
              <w:spacing w:before="145"/>
              <w:rPr>
                <w:rStyle w:val="17"/>
                <w:rFonts w:ascii="仿宋_GB2312" w:hAnsi="宋体" w:eastAsia="仿宋_GB2312"/>
                <w:sz w:val="24"/>
              </w:rPr>
            </w:pPr>
          </w:p>
        </w:tc>
      </w:tr>
    </w:tbl>
    <w:p>
      <w:pPr>
        <w:rPr>
          <w:rStyle w:val="17"/>
          <w:rFonts w:ascii="宋体" w:hAnsi="宋体"/>
          <w:sz w:val="24"/>
        </w:rPr>
      </w:pPr>
      <w:r>
        <w:rPr>
          <w:rStyle w:val="17"/>
          <w:rFonts w:ascii="宋体" w:hAnsi="宋体"/>
          <w:sz w:val="24"/>
        </w:rPr>
        <w:t>法定代表人或授权代表签字：</w:t>
      </w:r>
    </w:p>
    <w:p>
      <w:pPr>
        <w:pStyle w:val="34"/>
        <w:spacing w:before="0" w:after="0" w:line="390" w:lineRule="atLeast"/>
        <w:jc w:val="center"/>
        <w:rPr>
          <w:rStyle w:val="17"/>
          <w:rFonts w:ascii="微软雅黑" w:hAnsi="微软雅黑" w:eastAsia="微软雅黑"/>
          <w:b/>
          <w:sz w:val="32"/>
          <w:szCs w:val="32"/>
        </w:rPr>
      </w:pPr>
    </w:p>
    <w:p>
      <w:pPr>
        <w:pStyle w:val="34"/>
        <w:spacing w:before="0" w:after="0" w:line="390" w:lineRule="atLeast"/>
        <w:jc w:val="center"/>
        <w:rPr>
          <w:rStyle w:val="17"/>
          <w:rFonts w:ascii="微软雅黑" w:hAnsi="微软雅黑" w:eastAsia="微软雅黑"/>
          <w:b/>
          <w:sz w:val="32"/>
          <w:szCs w:val="32"/>
        </w:rPr>
      </w:pPr>
    </w:p>
    <w:p>
      <w:pPr>
        <w:pStyle w:val="34"/>
        <w:spacing w:before="0" w:after="0" w:line="390" w:lineRule="atLeast"/>
        <w:jc w:val="center"/>
        <w:rPr>
          <w:rStyle w:val="17"/>
          <w:rFonts w:ascii="微软雅黑" w:hAnsi="微软雅黑" w:eastAsia="微软雅黑"/>
          <w:b/>
          <w:sz w:val="32"/>
          <w:szCs w:val="32"/>
        </w:rPr>
      </w:pPr>
    </w:p>
    <w:p>
      <w:pPr>
        <w:pStyle w:val="34"/>
        <w:spacing w:before="0" w:after="0" w:line="390" w:lineRule="atLeast"/>
        <w:jc w:val="center"/>
        <w:rPr>
          <w:rStyle w:val="17"/>
          <w:rFonts w:ascii="微软雅黑" w:hAnsi="微软雅黑" w:eastAsia="微软雅黑"/>
          <w:b/>
          <w:sz w:val="32"/>
          <w:szCs w:val="32"/>
        </w:rPr>
      </w:pPr>
    </w:p>
    <w:p>
      <w:pPr>
        <w:pStyle w:val="34"/>
        <w:spacing w:before="0" w:after="0" w:line="390" w:lineRule="atLeast"/>
        <w:jc w:val="center"/>
        <w:rPr>
          <w:rStyle w:val="17"/>
          <w:rFonts w:ascii="黑体" w:hAnsi="黑体"/>
          <w:sz w:val="30"/>
          <w:szCs w:val="30"/>
          <w:lang w:val="en-GB"/>
        </w:rPr>
      </w:pPr>
      <w:r>
        <w:rPr>
          <w:rStyle w:val="17"/>
          <w:rFonts w:ascii="黑体" w:hAnsi="黑体"/>
          <w:sz w:val="30"/>
          <w:szCs w:val="30"/>
          <w:lang w:val="en-GB"/>
        </w:rPr>
        <w:br w:type="textWrapping"/>
      </w:r>
    </w:p>
    <w:p>
      <w:pPr>
        <w:pStyle w:val="34"/>
        <w:spacing w:before="0" w:after="0" w:line="390" w:lineRule="atLeast"/>
        <w:jc w:val="center"/>
        <w:rPr>
          <w:rStyle w:val="17"/>
          <w:sz w:val="32"/>
          <w:szCs w:val="32"/>
        </w:rPr>
      </w:pPr>
      <w:r>
        <w:rPr>
          <w:rStyle w:val="17"/>
          <w:rFonts w:ascii="微软雅黑" w:hAnsi="微软雅黑" w:eastAsia="微软雅黑"/>
          <w:b/>
          <w:sz w:val="32"/>
          <w:szCs w:val="32"/>
        </w:rPr>
        <w:t>开  标 一 览  表</w:t>
      </w:r>
    </w:p>
    <w:p>
      <w:pPr>
        <w:spacing w:line="360" w:lineRule="auto"/>
        <w:ind w:firstLine="641"/>
        <w:jc w:val="left"/>
        <w:rPr>
          <w:rStyle w:val="17"/>
          <w:rFonts w:ascii="宋体" w:hAnsi="宋体"/>
          <w:b/>
          <w:sz w:val="32"/>
          <w:szCs w:val="32"/>
          <w:u w:val="single"/>
        </w:rPr>
      </w:pPr>
      <w:r>
        <w:rPr>
          <w:rStyle w:val="17"/>
          <w:rFonts w:ascii="微软雅黑" w:hAnsi="微软雅黑" w:eastAsia="微软雅黑"/>
          <w:sz w:val="19"/>
          <w:szCs w:val="19"/>
        </w:rPr>
        <w:t>询价人全称（加盖公章）：</w:t>
      </w:r>
      <w:r>
        <w:rPr>
          <w:rStyle w:val="17"/>
          <w:rFonts w:ascii="宋体" w:hAnsi="宋体"/>
          <w:b/>
          <w:sz w:val="32"/>
          <w:szCs w:val="32"/>
          <w:u w:val="single" w:color="000000"/>
        </w:rPr>
        <w:t xml:space="preserve">                </w:t>
      </w:r>
    </w:p>
    <w:p>
      <w:pPr>
        <w:spacing w:line="360" w:lineRule="auto"/>
        <w:ind w:firstLine="641"/>
        <w:jc w:val="left"/>
        <w:rPr>
          <w:rStyle w:val="17"/>
          <w:rFonts w:ascii="微软雅黑" w:hAnsi="微软雅黑" w:eastAsia="微软雅黑"/>
          <w:sz w:val="19"/>
          <w:szCs w:val="19"/>
        </w:rPr>
      </w:pPr>
      <w:r>
        <w:rPr>
          <w:rStyle w:val="17"/>
          <w:rFonts w:ascii="微软雅黑" w:hAnsi="微软雅黑" w:eastAsia="微软雅黑"/>
          <w:sz w:val="19"/>
          <w:szCs w:val="19"/>
        </w:rPr>
        <w:t xml:space="preserve">项目名称： </w:t>
      </w:r>
      <w:r>
        <w:rPr>
          <w:rStyle w:val="17"/>
          <w:rFonts w:ascii="微软雅黑" w:hAnsi="微软雅黑" w:eastAsia="微软雅黑"/>
          <w:sz w:val="19"/>
          <w:szCs w:val="19"/>
          <w:u w:val="single" w:color="000000"/>
        </w:rPr>
        <w:t xml:space="preserve">                                        </w:t>
      </w:r>
      <w:r>
        <w:rPr>
          <w:rStyle w:val="17"/>
          <w:rFonts w:ascii="微软雅黑" w:hAnsi="微软雅黑" w:eastAsia="微软雅黑"/>
          <w:sz w:val="19"/>
          <w:szCs w:val="19"/>
        </w:rPr>
        <w:t xml:space="preserve">       </w:t>
      </w:r>
    </w:p>
    <w:p>
      <w:pPr>
        <w:spacing w:line="360" w:lineRule="auto"/>
        <w:ind w:firstLine="641"/>
        <w:jc w:val="left"/>
        <w:rPr>
          <w:rStyle w:val="17"/>
          <w:rFonts w:ascii="微软雅黑" w:hAnsi="微软雅黑" w:eastAsia="微软雅黑"/>
          <w:sz w:val="19"/>
          <w:szCs w:val="19"/>
          <w:u w:val="single"/>
        </w:rPr>
      </w:pPr>
      <w:r>
        <w:rPr>
          <w:rStyle w:val="17"/>
          <w:rFonts w:ascii="微软雅黑" w:hAnsi="微软雅黑" w:eastAsia="微软雅黑"/>
          <w:sz w:val="19"/>
          <w:szCs w:val="19"/>
        </w:rPr>
        <w:t>项目编号：</w:t>
      </w:r>
      <w:r>
        <w:rPr>
          <w:rStyle w:val="17"/>
          <w:rFonts w:ascii="微软雅黑" w:hAnsi="微软雅黑" w:eastAsia="微软雅黑"/>
          <w:sz w:val="19"/>
          <w:szCs w:val="19"/>
          <w:u w:val="single" w:color="000000"/>
        </w:rPr>
        <w:t xml:space="preserve">                            </w:t>
      </w:r>
      <w:r>
        <w:rPr>
          <w:rStyle w:val="17"/>
          <w:rFonts w:ascii="微软雅黑" w:hAnsi="微软雅黑" w:eastAsia="微软雅黑"/>
          <w:sz w:val="19"/>
          <w:szCs w:val="19"/>
        </w:rPr>
        <w:t xml:space="preserve">      分包号：</w:t>
      </w:r>
      <w:r>
        <w:rPr>
          <w:rStyle w:val="17"/>
          <w:rFonts w:ascii="微软雅黑" w:hAnsi="微软雅黑" w:eastAsia="微软雅黑"/>
          <w:sz w:val="19"/>
          <w:szCs w:val="19"/>
          <w:u w:val="single" w:color="000000"/>
        </w:rPr>
        <w:t xml:space="preserve">                      </w:t>
      </w:r>
    </w:p>
    <w:p>
      <w:pPr>
        <w:spacing w:line="360" w:lineRule="auto"/>
        <w:ind w:firstLine="641"/>
        <w:jc w:val="left"/>
        <w:rPr>
          <w:rStyle w:val="17"/>
          <w:rFonts w:ascii="微软雅黑" w:hAnsi="微软雅黑" w:eastAsia="微软雅黑"/>
          <w:sz w:val="19"/>
          <w:szCs w:val="19"/>
        </w:rPr>
      </w:pPr>
    </w:p>
    <w:tbl>
      <w:tblPr>
        <w:tblStyle w:val="8"/>
        <w:tblW w:w="9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0"/>
        <w:gridCol w:w="4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4940" w:type="dxa"/>
            <w:tcBorders>
              <w:top w:val="single" w:color="000000" w:sz="4" w:space="0"/>
              <w:left w:val="single" w:color="000000" w:sz="4" w:space="0"/>
              <w:bottom w:val="single" w:color="000000" w:sz="4" w:space="0"/>
              <w:right w:val="single" w:color="000000" w:sz="4" w:space="0"/>
            </w:tcBorders>
          </w:tcPr>
          <w:p>
            <w:pPr>
              <w:spacing w:line="360" w:lineRule="auto"/>
              <w:jc w:val="left"/>
              <w:rPr>
                <w:rStyle w:val="17"/>
                <w:rFonts w:ascii="微软雅黑" w:hAnsi="微软雅黑" w:eastAsia="微软雅黑"/>
                <w:sz w:val="19"/>
                <w:szCs w:val="19"/>
              </w:rPr>
            </w:pPr>
            <w:r>
              <w:rPr>
                <w:rStyle w:val="17"/>
                <w:rFonts w:ascii="微软雅黑" w:hAnsi="微软雅黑" w:eastAsia="微软雅黑"/>
                <w:sz w:val="19"/>
                <w:szCs w:val="19"/>
              </w:rPr>
              <w:t xml:space="preserve">询价货物、服务名称 </w:t>
            </w:r>
          </w:p>
        </w:tc>
        <w:tc>
          <w:tcPr>
            <w:tcW w:w="4940" w:type="dxa"/>
            <w:tcBorders>
              <w:top w:val="single" w:color="000000" w:sz="4" w:space="0"/>
              <w:left w:val="single" w:color="000000" w:sz="4" w:space="0"/>
              <w:bottom w:val="single" w:color="000000" w:sz="4" w:space="0"/>
              <w:right w:val="single" w:color="000000" w:sz="4" w:space="0"/>
            </w:tcBorders>
          </w:tcPr>
          <w:p>
            <w:pPr>
              <w:spacing w:line="360" w:lineRule="auto"/>
              <w:jc w:val="left"/>
              <w:rPr>
                <w:rStyle w:val="17"/>
                <w:rFonts w:ascii="微软雅黑" w:hAnsi="微软雅黑" w:eastAsia="微软雅黑"/>
                <w:sz w:val="19"/>
                <w:szCs w:val="19"/>
              </w:rPr>
            </w:pPr>
            <w:r>
              <w:rPr>
                <w:rStyle w:val="17"/>
                <w:rFonts w:ascii="微软雅黑" w:hAnsi="微软雅黑" w:eastAsia="微软雅黑"/>
                <w:sz w:val="19"/>
                <w:szCs w:val="19"/>
              </w:rPr>
              <w:t xml:space="preserve">询价总报价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4940" w:type="dxa"/>
            <w:tcBorders>
              <w:top w:val="single" w:color="000000" w:sz="4" w:space="0"/>
              <w:left w:val="single" w:color="000000" w:sz="4" w:space="0"/>
              <w:bottom w:val="single" w:color="000000" w:sz="4" w:space="0"/>
              <w:right w:val="single" w:color="000000" w:sz="4" w:space="0"/>
            </w:tcBorders>
          </w:tcPr>
          <w:p>
            <w:pPr>
              <w:spacing w:line="360" w:lineRule="auto"/>
              <w:jc w:val="left"/>
              <w:rPr>
                <w:rStyle w:val="17"/>
                <w:rFonts w:ascii="微软雅黑" w:hAnsi="微软雅黑" w:eastAsia="微软雅黑"/>
                <w:sz w:val="19"/>
                <w:szCs w:val="19"/>
              </w:rPr>
            </w:pPr>
          </w:p>
          <w:p>
            <w:pPr>
              <w:spacing w:line="360" w:lineRule="auto"/>
              <w:jc w:val="left"/>
              <w:rPr>
                <w:rStyle w:val="17"/>
                <w:rFonts w:ascii="微软雅黑" w:hAnsi="微软雅黑" w:eastAsia="微软雅黑"/>
                <w:sz w:val="19"/>
                <w:szCs w:val="19"/>
              </w:rPr>
            </w:pPr>
          </w:p>
        </w:tc>
        <w:tc>
          <w:tcPr>
            <w:tcW w:w="4940" w:type="dxa"/>
            <w:tcBorders>
              <w:top w:val="single" w:color="000000" w:sz="4" w:space="0"/>
              <w:left w:val="single" w:color="000000" w:sz="4" w:space="0"/>
              <w:bottom w:val="single" w:color="000000" w:sz="4" w:space="0"/>
              <w:right w:val="single" w:color="000000" w:sz="4" w:space="0"/>
            </w:tcBorders>
          </w:tcPr>
          <w:p>
            <w:pPr>
              <w:spacing w:line="360" w:lineRule="auto"/>
              <w:jc w:val="left"/>
              <w:rPr>
                <w:rStyle w:val="17"/>
                <w:rFonts w:ascii="微软雅黑" w:hAnsi="微软雅黑" w:eastAsia="微软雅黑"/>
                <w:sz w:val="19"/>
                <w:szCs w:val="19"/>
              </w:rPr>
            </w:pPr>
            <w:r>
              <w:rPr>
                <w:rStyle w:val="17"/>
                <w:rFonts w:ascii="微软雅黑" w:hAnsi="微软雅黑" w:eastAsia="微软雅黑"/>
                <w:sz w:val="19"/>
                <w:szCs w:val="19"/>
              </w:rPr>
              <w:t>大写：</w:t>
            </w:r>
          </w:p>
          <w:p>
            <w:pPr>
              <w:spacing w:line="360" w:lineRule="auto"/>
              <w:jc w:val="left"/>
              <w:rPr>
                <w:rStyle w:val="17"/>
                <w:rFonts w:ascii="微软雅黑" w:hAnsi="微软雅黑" w:eastAsia="微软雅黑"/>
                <w:sz w:val="19"/>
                <w:szCs w:val="19"/>
              </w:rPr>
            </w:pPr>
            <w:r>
              <w:rPr>
                <w:rStyle w:val="17"/>
                <w:rFonts w:ascii="微软雅黑" w:hAnsi="微软雅黑" w:eastAsia="微软雅黑"/>
                <w:sz w:val="19"/>
                <w:szCs w:val="19"/>
              </w:rPr>
              <w:t xml:space="preserve">小写：                元（人民币）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4940" w:type="dxa"/>
            <w:tcBorders>
              <w:top w:val="single" w:color="000000" w:sz="4" w:space="0"/>
              <w:left w:val="single" w:color="000000" w:sz="4" w:space="0"/>
              <w:bottom w:val="single" w:color="000000" w:sz="4" w:space="0"/>
              <w:right w:val="single" w:color="000000" w:sz="4" w:space="0"/>
            </w:tcBorders>
          </w:tcPr>
          <w:p>
            <w:pPr>
              <w:spacing w:line="360" w:lineRule="auto"/>
              <w:jc w:val="left"/>
              <w:rPr>
                <w:rStyle w:val="17"/>
                <w:rFonts w:ascii="微软雅黑" w:hAnsi="微软雅黑" w:eastAsia="微软雅黑"/>
                <w:sz w:val="19"/>
                <w:szCs w:val="19"/>
              </w:rPr>
            </w:pPr>
            <w:r>
              <w:rPr>
                <w:rStyle w:val="17"/>
                <w:rFonts w:ascii="微软雅黑" w:hAnsi="微软雅黑" w:eastAsia="微软雅黑"/>
                <w:sz w:val="19"/>
                <w:szCs w:val="19"/>
              </w:rPr>
              <w:t>主要货物、服务制造商及产地</w:t>
            </w:r>
          </w:p>
        </w:tc>
        <w:tc>
          <w:tcPr>
            <w:tcW w:w="4940" w:type="dxa"/>
            <w:tcBorders>
              <w:top w:val="single" w:color="000000" w:sz="4" w:space="0"/>
              <w:left w:val="single" w:color="000000" w:sz="4" w:space="0"/>
              <w:bottom w:val="single" w:color="000000" w:sz="4" w:space="0"/>
              <w:right w:val="single" w:color="000000" w:sz="4" w:space="0"/>
            </w:tcBorders>
          </w:tcPr>
          <w:p>
            <w:pPr>
              <w:spacing w:line="360" w:lineRule="auto"/>
              <w:jc w:val="left"/>
              <w:rPr>
                <w:rStyle w:val="17"/>
                <w:rFonts w:ascii="微软雅黑" w:hAnsi="微软雅黑" w:eastAsia="微软雅黑"/>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4940" w:type="dxa"/>
            <w:tcBorders>
              <w:top w:val="single" w:color="000000" w:sz="4" w:space="0"/>
              <w:left w:val="single" w:color="000000" w:sz="4" w:space="0"/>
              <w:bottom w:val="single" w:color="000000" w:sz="4" w:space="0"/>
              <w:right w:val="single" w:color="000000" w:sz="4" w:space="0"/>
            </w:tcBorders>
          </w:tcPr>
          <w:p>
            <w:pPr>
              <w:spacing w:line="360" w:lineRule="auto"/>
              <w:jc w:val="left"/>
              <w:rPr>
                <w:rStyle w:val="17"/>
                <w:rFonts w:ascii="微软雅黑" w:hAnsi="微软雅黑" w:eastAsia="微软雅黑"/>
                <w:sz w:val="19"/>
                <w:szCs w:val="19"/>
              </w:rPr>
            </w:pPr>
          </w:p>
        </w:tc>
        <w:tc>
          <w:tcPr>
            <w:tcW w:w="4940" w:type="dxa"/>
            <w:tcBorders>
              <w:top w:val="single" w:color="000000" w:sz="4" w:space="0"/>
              <w:left w:val="single" w:color="000000" w:sz="4" w:space="0"/>
              <w:bottom w:val="single" w:color="000000" w:sz="4" w:space="0"/>
              <w:right w:val="single" w:color="000000" w:sz="4" w:space="0"/>
            </w:tcBorders>
          </w:tcPr>
          <w:p>
            <w:pPr>
              <w:spacing w:line="360" w:lineRule="auto"/>
              <w:jc w:val="left"/>
              <w:rPr>
                <w:rStyle w:val="17"/>
                <w:rFonts w:ascii="微软雅黑" w:hAnsi="微软雅黑" w:eastAsia="微软雅黑"/>
                <w:sz w:val="19"/>
                <w:szCs w:val="19"/>
              </w:rPr>
            </w:pPr>
          </w:p>
        </w:tc>
      </w:tr>
    </w:tbl>
    <w:p>
      <w:pPr>
        <w:spacing w:line="360" w:lineRule="auto"/>
        <w:ind w:firstLine="641"/>
        <w:jc w:val="left"/>
        <w:rPr>
          <w:rStyle w:val="17"/>
          <w:rFonts w:ascii="微软雅黑" w:hAnsi="微软雅黑" w:eastAsia="微软雅黑"/>
          <w:sz w:val="19"/>
          <w:szCs w:val="19"/>
        </w:rPr>
      </w:pPr>
    </w:p>
    <w:p>
      <w:pPr>
        <w:pStyle w:val="34"/>
        <w:spacing w:before="0" w:after="0" w:line="360" w:lineRule="auto"/>
        <w:ind w:firstLine="3230" w:firstLineChars="1700"/>
        <w:rPr>
          <w:rStyle w:val="17"/>
        </w:rPr>
      </w:pPr>
      <w:r>
        <w:rPr>
          <w:rStyle w:val="17"/>
          <w:rFonts w:ascii="微软雅黑" w:hAnsi="微软雅黑" w:eastAsia="微软雅黑"/>
          <w:sz w:val="19"/>
          <w:szCs w:val="19"/>
        </w:rPr>
        <w:t>日期：</w:t>
      </w:r>
    </w:p>
    <w:p>
      <w:pPr>
        <w:spacing w:line="360" w:lineRule="auto"/>
        <w:ind w:firstLine="641"/>
        <w:jc w:val="center"/>
        <w:rPr>
          <w:rStyle w:val="17"/>
          <w:rFonts w:ascii="宋体" w:hAnsi="宋体"/>
          <w:b/>
          <w:sz w:val="32"/>
          <w:szCs w:val="32"/>
        </w:rPr>
      </w:pPr>
    </w:p>
    <w:p>
      <w:pPr>
        <w:spacing w:line="360" w:lineRule="auto"/>
        <w:ind w:firstLine="641"/>
        <w:jc w:val="center"/>
        <w:rPr>
          <w:rStyle w:val="17"/>
          <w:rFonts w:ascii="宋体" w:hAnsi="宋体"/>
          <w:b/>
          <w:sz w:val="32"/>
          <w:szCs w:val="32"/>
        </w:rPr>
      </w:pPr>
    </w:p>
    <w:p>
      <w:pPr>
        <w:pStyle w:val="34"/>
        <w:spacing w:before="0" w:after="0" w:line="360" w:lineRule="auto"/>
        <w:rPr>
          <w:rStyle w:val="17"/>
          <w:b/>
          <w:sz w:val="32"/>
          <w:szCs w:val="32"/>
        </w:rPr>
      </w:pPr>
      <w:r>
        <w:rPr>
          <w:rStyle w:val="17"/>
          <w:rFonts w:ascii="微软雅黑" w:hAnsi="微软雅黑" w:eastAsia="微软雅黑"/>
          <w:sz w:val="19"/>
          <w:szCs w:val="19"/>
        </w:rPr>
        <w:t>填写说明：开标一览表必须加盖询价单位公章（复印件无效）。</w:t>
      </w:r>
    </w:p>
    <w:p>
      <w:pPr>
        <w:ind w:firstLine="641"/>
        <w:jc w:val="center"/>
        <w:rPr>
          <w:rStyle w:val="17"/>
          <w:rFonts w:ascii="宋体" w:hAnsi="宋体"/>
          <w:b/>
          <w:sz w:val="32"/>
          <w:szCs w:val="32"/>
        </w:rPr>
      </w:pPr>
    </w:p>
    <w:p>
      <w:pPr>
        <w:ind w:firstLine="641"/>
        <w:jc w:val="center"/>
        <w:rPr>
          <w:rStyle w:val="17"/>
          <w:rFonts w:ascii="宋体" w:hAnsi="宋体"/>
          <w:b/>
          <w:sz w:val="32"/>
          <w:szCs w:val="32"/>
        </w:rPr>
      </w:pPr>
    </w:p>
    <w:p>
      <w:pPr>
        <w:ind w:firstLine="641"/>
        <w:jc w:val="center"/>
        <w:rPr>
          <w:rStyle w:val="17"/>
          <w:rFonts w:ascii="宋体" w:hAnsi="宋体"/>
          <w:b/>
          <w:sz w:val="32"/>
          <w:szCs w:val="32"/>
        </w:rPr>
      </w:pPr>
    </w:p>
    <w:p>
      <w:pPr>
        <w:ind w:firstLine="641"/>
        <w:jc w:val="center"/>
        <w:rPr>
          <w:rStyle w:val="17"/>
          <w:rFonts w:ascii="宋体" w:hAnsi="宋体"/>
          <w:b/>
          <w:sz w:val="32"/>
          <w:szCs w:val="32"/>
        </w:rPr>
      </w:pPr>
    </w:p>
    <w:p>
      <w:pPr>
        <w:tabs>
          <w:tab w:val="left" w:pos="525"/>
          <w:tab w:val="left" w:pos="945"/>
          <w:tab w:val="left" w:pos="1470"/>
          <w:tab w:val="left" w:pos="2100"/>
          <w:tab w:val="left" w:pos="3360"/>
          <w:tab w:val="left" w:pos="5460"/>
        </w:tabs>
        <w:spacing w:line="480" w:lineRule="auto"/>
        <w:ind w:left="-574" w:leftChars="-350" w:right="-821" w:hanging="161"/>
        <w:jc w:val="center"/>
        <w:rPr>
          <w:rStyle w:val="17"/>
          <w:rFonts w:ascii="宋体" w:hAnsi="宋体"/>
          <w:b/>
          <w:sz w:val="32"/>
          <w:szCs w:val="32"/>
        </w:rPr>
      </w:pPr>
      <w:r>
        <w:rPr>
          <w:rStyle w:val="17"/>
          <w:rFonts w:ascii="宋体" w:hAnsi="宋体"/>
          <w:b/>
          <w:sz w:val="32"/>
          <w:szCs w:val="32"/>
        </w:rPr>
        <w:br w:type="textWrapping"/>
      </w:r>
    </w:p>
    <w:p>
      <w:pPr>
        <w:tabs>
          <w:tab w:val="left" w:pos="525"/>
          <w:tab w:val="left" w:pos="945"/>
          <w:tab w:val="left" w:pos="1470"/>
          <w:tab w:val="left" w:pos="2100"/>
          <w:tab w:val="left" w:pos="3360"/>
          <w:tab w:val="left" w:pos="5460"/>
        </w:tabs>
        <w:spacing w:line="480" w:lineRule="auto"/>
        <w:ind w:left="-574" w:leftChars="-350" w:right="-821" w:hanging="161"/>
        <w:jc w:val="center"/>
        <w:rPr>
          <w:rStyle w:val="17"/>
          <w:rFonts w:ascii="宋体" w:hAnsi="宋体" w:cs="宋体"/>
          <w:bCs/>
          <w:sz w:val="24"/>
          <w:szCs w:val="24"/>
        </w:rPr>
      </w:pPr>
      <w:r>
        <w:rPr>
          <w:rStyle w:val="17"/>
          <w:rFonts w:ascii="宋体" w:hAnsi="宋体"/>
          <w:b/>
          <w:sz w:val="32"/>
          <w:szCs w:val="32"/>
        </w:rPr>
        <w:t xml:space="preserve">    </w:t>
      </w:r>
      <w:r>
        <w:rPr>
          <w:rStyle w:val="17"/>
          <w:rFonts w:ascii="宋体" w:hAnsi="宋体" w:cs="宋体"/>
          <w:bCs/>
          <w:sz w:val="24"/>
          <w:szCs w:val="24"/>
        </w:rPr>
        <w:t xml:space="preserve"> </w:t>
      </w:r>
      <w:r>
        <w:rPr>
          <w:rStyle w:val="17"/>
          <w:rFonts w:ascii="宋体" w:hAnsi="宋体"/>
          <w:b/>
          <w:sz w:val="28"/>
          <w:szCs w:val="28"/>
        </w:rPr>
        <w:t>分项报价表</w:t>
      </w:r>
    </w:p>
    <w:p>
      <w:pPr>
        <w:tabs>
          <w:tab w:val="left" w:pos="525"/>
          <w:tab w:val="left" w:pos="945"/>
          <w:tab w:val="left" w:pos="1470"/>
          <w:tab w:val="left" w:pos="2100"/>
          <w:tab w:val="left" w:pos="3360"/>
          <w:tab w:val="left" w:pos="5460"/>
        </w:tabs>
        <w:spacing w:line="480" w:lineRule="auto"/>
        <w:ind w:left="-615" w:leftChars="-350" w:right="-821" w:hanging="120"/>
        <w:jc w:val="left"/>
        <w:rPr>
          <w:rStyle w:val="17"/>
          <w:rFonts w:ascii="宋体" w:hAnsi="宋体" w:cs="宋体"/>
          <w:bCs/>
          <w:sz w:val="24"/>
          <w:szCs w:val="24"/>
        </w:rPr>
      </w:pPr>
    </w:p>
    <w:p>
      <w:pPr>
        <w:tabs>
          <w:tab w:val="left" w:pos="525"/>
          <w:tab w:val="left" w:pos="945"/>
          <w:tab w:val="left" w:pos="1470"/>
          <w:tab w:val="left" w:pos="2100"/>
          <w:tab w:val="left" w:pos="3360"/>
          <w:tab w:val="left" w:pos="5460"/>
        </w:tabs>
        <w:spacing w:line="480" w:lineRule="auto"/>
        <w:ind w:left="-493" w:leftChars="-235" w:right="-821" w:firstLine="600" w:firstLineChars="250"/>
        <w:jc w:val="left"/>
        <w:rPr>
          <w:rStyle w:val="17"/>
          <w:rFonts w:ascii="宋体" w:hAnsi="宋体" w:cs="宋体"/>
          <w:bCs/>
          <w:kern w:val="0"/>
          <w:sz w:val="24"/>
          <w:szCs w:val="24"/>
        </w:rPr>
      </w:pPr>
      <w:r>
        <w:rPr>
          <w:rStyle w:val="17"/>
          <w:rFonts w:ascii="宋体" w:hAnsi="宋体" w:cs="宋体"/>
          <w:bCs/>
          <w:kern w:val="0"/>
          <w:sz w:val="24"/>
          <w:szCs w:val="24"/>
        </w:rPr>
        <w:t>报价单位： （公章）                           单位：元</w:t>
      </w:r>
    </w:p>
    <w:tbl>
      <w:tblPr>
        <w:tblStyle w:val="8"/>
        <w:tblW w:w="9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2"/>
        <w:gridCol w:w="1424"/>
        <w:gridCol w:w="2034"/>
        <w:gridCol w:w="1233"/>
        <w:gridCol w:w="1021"/>
        <w:gridCol w:w="1896"/>
        <w:gridCol w:w="851"/>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序号</w:t>
            </w:r>
          </w:p>
        </w:tc>
        <w:tc>
          <w:tcPr>
            <w:tcW w:w="1424" w:type="dxa"/>
            <w:tcBorders>
              <w:top w:val="single" w:color="000000" w:sz="4" w:space="0"/>
              <w:left w:val="nil"/>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项目</w:t>
            </w:r>
          </w:p>
        </w:tc>
        <w:tc>
          <w:tcPr>
            <w:tcW w:w="2034" w:type="dxa"/>
            <w:tcBorders>
              <w:top w:val="single" w:color="000000" w:sz="4" w:space="0"/>
              <w:left w:val="nil"/>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配置参数</w:t>
            </w:r>
          </w:p>
        </w:tc>
        <w:tc>
          <w:tcPr>
            <w:tcW w:w="1233" w:type="dxa"/>
            <w:tcBorders>
              <w:top w:val="single" w:color="000000" w:sz="4" w:space="0"/>
              <w:left w:val="nil"/>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数量</w:t>
            </w:r>
          </w:p>
        </w:tc>
        <w:tc>
          <w:tcPr>
            <w:tcW w:w="1021" w:type="dxa"/>
            <w:tcBorders>
              <w:top w:val="single" w:color="000000" w:sz="4" w:space="0"/>
              <w:left w:val="nil"/>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单位</w:t>
            </w:r>
          </w:p>
        </w:tc>
        <w:tc>
          <w:tcPr>
            <w:tcW w:w="1896" w:type="dxa"/>
            <w:tcBorders>
              <w:top w:val="single" w:color="000000" w:sz="4" w:space="0"/>
              <w:left w:val="nil"/>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投标品牌及型号</w:t>
            </w:r>
          </w:p>
        </w:tc>
        <w:tc>
          <w:tcPr>
            <w:tcW w:w="851" w:type="dxa"/>
            <w:tcBorders>
              <w:top w:val="single" w:color="000000" w:sz="4" w:space="0"/>
              <w:left w:val="nil"/>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单价</w:t>
            </w:r>
          </w:p>
        </w:tc>
        <w:tc>
          <w:tcPr>
            <w:tcW w:w="920" w:type="dxa"/>
            <w:tcBorders>
              <w:top w:val="single" w:color="000000" w:sz="4" w:space="0"/>
              <w:left w:val="nil"/>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7" w:hRule="atLeast"/>
          <w:jc w:val="center"/>
        </w:trPr>
        <w:tc>
          <w:tcPr>
            <w:tcW w:w="582" w:type="dxa"/>
            <w:tcBorders>
              <w:top w:val="nil"/>
              <w:left w:val="single" w:color="000000" w:sz="4" w:space="0"/>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1</w:t>
            </w:r>
          </w:p>
        </w:tc>
        <w:tc>
          <w:tcPr>
            <w:tcW w:w="1424" w:type="dxa"/>
            <w:tcBorders>
              <w:top w:val="nil"/>
              <w:left w:val="nil"/>
              <w:bottom w:val="single" w:color="000000" w:sz="4" w:space="0"/>
              <w:right w:val="single" w:color="000000" w:sz="4" w:space="0"/>
            </w:tcBorders>
            <w:vAlign w:val="center"/>
          </w:tcPr>
          <w:p>
            <w:pPr>
              <w:rPr>
                <w:rStyle w:val="17"/>
                <w:rFonts w:ascii="宋体" w:hAnsi="宋体" w:cs="宋体"/>
                <w:bCs/>
                <w:sz w:val="24"/>
                <w:szCs w:val="24"/>
              </w:rPr>
            </w:pPr>
          </w:p>
        </w:tc>
        <w:tc>
          <w:tcPr>
            <w:tcW w:w="2034" w:type="dxa"/>
            <w:tcBorders>
              <w:top w:val="nil"/>
              <w:left w:val="nil"/>
              <w:bottom w:val="single" w:color="000000" w:sz="4" w:space="0"/>
              <w:right w:val="single" w:color="000000" w:sz="4" w:space="0"/>
            </w:tcBorders>
            <w:vAlign w:val="center"/>
          </w:tcPr>
          <w:p>
            <w:pPr>
              <w:rPr>
                <w:rStyle w:val="17"/>
                <w:rFonts w:ascii="宋体" w:hAnsi="宋体" w:cs="宋体"/>
                <w:bCs/>
                <w:sz w:val="24"/>
                <w:szCs w:val="24"/>
              </w:rPr>
            </w:pPr>
          </w:p>
        </w:tc>
        <w:tc>
          <w:tcPr>
            <w:tcW w:w="1233" w:type="dxa"/>
            <w:tcBorders>
              <w:top w:val="nil"/>
              <w:left w:val="nil"/>
              <w:bottom w:val="single" w:color="000000" w:sz="4" w:space="0"/>
              <w:right w:val="single" w:color="000000" w:sz="4" w:space="0"/>
            </w:tcBorders>
            <w:vAlign w:val="center"/>
          </w:tcPr>
          <w:p>
            <w:pPr>
              <w:jc w:val="center"/>
              <w:rPr>
                <w:rStyle w:val="17"/>
                <w:rFonts w:ascii="宋体" w:hAnsi="宋体" w:cs="宋体"/>
                <w:bCs/>
                <w:sz w:val="24"/>
                <w:szCs w:val="24"/>
              </w:rPr>
            </w:pPr>
          </w:p>
        </w:tc>
        <w:tc>
          <w:tcPr>
            <w:tcW w:w="1021" w:type="dxa"/>
            <w:tcBorders>
              <w:top w:val="nil"/>
              <w:left w:val="nil"/>
              <w:bottom w:val="single" w:color="000000" w:sz="4" w:space="0"/>
              <w:right w:val="single" w:color="000000" w:sz="4" w:space="0"/>
            </w:tcBorders>
            <w:vAlign w:val="center"/>
          </w:tcPr>
          <w:p>
            <w:pPr>
              <w:jc w:val="center"/>
              <w:rPr>
                <w:rStyle w:val="17"/>
                <w:rFonts w:ascii="宋体" w:hAnsi="宋体" w:cs="宋体"/>
                <w:bCs/>
                <w:sz w:val="24"/>
                <w:szCs w:val="24"/>
              </w:rPr>
            </w:pPr>
          </w:p>
        </w:tc>
        <w:tc>
          <w:tcPr>
            <w:tcW w:w="1896" w:type="dxa"/>
            <w:tcBorders>
              <w:top w:val="nil"/>
              <w:left w:val="nil"/>
              <w:bottom w:val="single" w:color="000000" w:sz="4" w:space="0"/>
              <w:right w:val="single" w:color="000000" w:sz="4" w:space="0"/>
            </w:tcBorders>
            <w:vAlign w:val="center"/>
          </w:tcPr>
          <w:p>
            <w:pPr>
              <w:jc w:val="center"/>
              <w:rPr>
                <w:rStyle w:val="17"/>
                <w:rFonts w:ascii="宋体" w:hAnsi="宋体" w:cs="宋体"/>
                <w:bCs/>
                <w:sz w:val="24"/>
                <w:szCs w:val="24"/>
              </w:rPr>
            </w:pPr>
          </w:p>
        </w:tc>
        <w:tc>
          <w:tcPr>
            <w:tcW w:w="851" w:type="dxa"/>
            <w:tcBorders>
              <w:top w:val="nil"/>
              <w:left w:val="nil"/>
              <w:bottom w:val="single" w:color="000000" w:sz="4" w:space="0"/>
              <w:right w:val="single" w:color="000000" w:sz="4" w:space="0"/>
            </w:tcBorders>
            <w:vAlign w:val="center"/>
          </w:tcPr>
          <w:p>
            <w:pPr>
              <w:jc w:val="right"/>
              <w:rPr>
                <w:rStyle w:val="17"/>
                <w:rFonts w:ascii="宋体" w:hAnsi="宋体" w:cs="宋体"/>
                <w:bCs/>
                <w:color w:val="000000"/>
                <w:sz w:val="24"/>
                <w:szCs w:val="24"/>
              </w:rPr>
            </w:pPr>
          </w:p>
        </w:tc>
        <w:tc>
          <w:tcPr>
            <w:tcW w:w="920" w:type="dxa"/>
            <w:tcBorders>
              <w:top w:val="nil"/>
              <w:left w:val="nil"/>
              <w:bottom w:val="single" w:color="000000" w:sz="4" w:space="0"/>
              <w:right w:val="single" w:color="000000" w:sz="4" w:space="0"/>
            </w:tcBorders>
            <w:vAlign w:val="center"/>
          </w:tcPr>
          <w:p>
            <w:pPr>
              <w:jc w:val="center"/>
              <w:rPr>
                <w:rStyle w:val="17"/>
                <w:rFonts w:ascii="宋体" w:hAnsi="宋体" w:cs="宋体"/>
                <w:bCs/>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7" w:hRule="atLeast"/>
          <w:jc w:val="center"/>
        </w:trPr>
        <w:tc>
          <w:tcPr>
            <w:tcW w:w="582" w:type="dxa"/>
            <w:tcBorders>
              <w:top w:val="nil"/>
              <w:left w:val="single" w:color="000000" w:sz="4" w:space="0"/>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2</w:t>
            </w:r>
          </w:p>
        </w:tc>
        <w:tc>
          <w:tcPr>
            <w:tcW w:w="1424" w:type="dxa"/>
            <w:tcBorders>
              <w:top w:val="nil"/>
              <w:left w:val="nil"/>
              <w:bottom w:val="single" w:color="000000" w:sz="4" w:space="0"/>
              <w:right w:val="single" w:color="000000" w:sz="4" w:space="0"/>
            </w:tcBorders>
            <w:vAlign w:val="center"/>
          </w:tcPr>
          <w:p>
            <w:pPr>
              <w:rPr>
                <w:rStyle w:val="17"/>
                <w:rFonts w:ascii="宋体" w:hAnsi="宋体" w:cs="宋体"/>
                <w:bCs/>
                <w:sz w:val="24"/>
                <w:szCs w:val="24"/>
              </w:rPr>
            </w:pPr>
          </w:p>
        </w:tc>
        <w:tc>
          <w:tcPr>
            <w:tcW w:w="2034" w:type="dxa"/>
            <w:tcBorders>
              <w:top w:val="nil"/>
              <w:left w:val="nil"/>
              <w:bottom w:val="single" w:color="000000" w:sz="4" w:space="0"/>
              <w:right w:val="single" w:color="000000" w:sz="4" w:space="0"/>
            </w:tcBorders>
            <w:vAlign w:val="center"/>
          </w:tcPr>
          <w:p>
            <w:pPr>
              <w:rPr>
                <w:rStyle w:val="17"/>
                <w:rFonts w:ascii="宋体" w:hAnsi="宋体" w:cs="宋体"/>
                <w:bCs/>
                <w:sz w:val="24"/>
                <w:szCs w:val="24"/>
              </w:rPr>
            </w:pPr>
          </w:p>
        </w:tc>
        <w:tc>
          <w:tcPr>
            <w:tcW w:w="1233" w:type="dxa"/>
            <w:tcBorders>
              <w:top w:val="nil"/>
              <w:left w:val="nil"/>
              <w:bottom w:val="single" w:color="000000" w:sz="4" w:space="0"/>
              <w:right w:val="single" w:color="000000" w:sz="4" w:space="0"/>
            </w:tcBorders>
            <w:vAlign w:val="center"/>
          </w:tcPr>
          <w:p>
            <w:pPr>
              <w:jc w:val="center"/>
              <w:rPr>
                <w:rStyle w:val="17"/>
                <w:rFonts w:ascii="宋体" w:hAnsi="宋体" w:cs="宋体"/>
                <w:bCs/>
                <w:sz w:val="24"/>
                <w:szCs w:val="24"/>
              </w:rPr>
            </w:pPr>
          </w:p>
        </w:tc>
        <w:tc>
          <w:tcPr>
            <w:tcW w:w="1021" w:type="dxa"/>
            <w:tcBorders>
              <w:top w:val="nil"/>
              <w:left w:val="nil"/>
              <w:bottom w:val="single" w:color="000000" w:sz="4" w:space="0"/>
              <w:right w:val="single" w:color="000000" w:sz="4" w:space="0"/>
            </w:tcBorders>
            <w:vAlign w:val="center"/>
          </w:tcPr>
          <w:p>
            <w:pPr>
              <w:jc w:val="center"/>
              <w:rPr>
                <w:rStyle w:val="17"/>
                <w:rFonts w:ascii="宋体" w:hAnsi="宋体" w:cs="宋体"/>
                <w:bCs/>
                <w:sz w:val="24"/>
                <w:szCs w:val="24"/>
              </w:rPr>
            </w:pPr>
          </w:p>
        </w:tc>
        <w:tc>
          <w:tcPr>
            <w:tcW w:w="1896" w:type="dxa"/>
            <w:tcBorders>
              <w:top w:val="nil"/>
              <w:left w:val="nil"/>
              <w:bottom w:val="single" w:color="000000" w:sz="4" w:space="0"/>
              <w:right w:val="single" w:color="000000" w:sz="4" w:space="0"/>
            </w:tcBorders>
            <w:vAlign w:val="center"/>
          </w:tcPr>
          <w:p>
            <w:pPr>
              <w:jc w:val="center"/>
              <w:rPr>
                <w:rStyle w:val="17"/>
                <w:rFonts w:ascii="宋体" w:hAnsi="宋体" w:cs="宋体"/>
                <w:bCs/>
                <w:sz w:val="24"/>
                <w:szCs w:val="24"/>
              </w:rPr>
            </w:pPr>
          </w:p>
        </w:tc>
        <w:tc>
          <w:tcPr>
            <w:tcW w:w="851" w:type="dxa"/>
            <w:tcBorders>
              <w:top w:val="nil"/>
              <w:left w:val="nil"/>
              <w:bottom w:val="single" w:color="000000" w:sz="4" w:space="0"/>
              <w:right w:val="single" w:color="000000" w:sz="4" w:space="0"/>
            </w:tcBorders>
            <w:vAlign w:val="center"/>
          </w:tcPr>
          <w:p>
            <w:pPr>
              <w:jc w:val="right"/>
              <w:rPr>
                <w:rStyle w:val="17"/>
                <w:rFonts w:ascii="宋体" w:hAnsi="宋体" w:cs="宋体"/>
                <w:bCs/>
                <w:color w:val="000000"/>
                <w:sz w:val="24"/>
                <w:szCs w:val="24"/>
              </w:rPr>
            </w:pPr>
          </w:p>
        </w:tc>
        <w:tc>
          <w:tcPr>
            <w:tcW w:w="920" w:type="dxa"/>
            <w:tcBorders>
              <w:top w:val="nil"/>
              <w:left w:val="nil"/>
              <w:bottom w:val="single" w:color="000000" w:sz="4" w:space="0"/>
              <w:right w:val="single" w:color="000000" w:sz="4" w:space="0"/>
            </w:tcBorders>
            <w:vAlign w:val="center"/>
          </w:tcPr>
          <w:p>
            <w:pPr>
              <w:jc w:val="center"/>
              <w:rPr>
                <w:rStyle w:val="17"/>
                <w:rFonts w:ascii="宋体" w:hAnsi="宋体" w:cs="宋体"/>
                <w:bCs/>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7" w:hRule="atLeast"/>
          <w:jc w:val="center"/>
        </w:trPr>
        <w:tc>
          <w:tcPr>
            <w:tcW w:w="582" w:type="dxa"/>
            <w:tcBorders>
              <w:top w:val="nil"/>
              <w:left w:val="single" w:color="000000" w:sz="4" w:space="0"/>
              <w:bottom w:val="single" w:color="000000" w:sz="4" w:space="0"/>
              <w:right w:val="single" w:color="000000" w:sz="4" w:space="0"/>
            </w:tcBorders>
            <w:vAlign w:val="center"/>
          </w:tcPr>
          <w:p>
            <w:pPr>
              <w:jc w:val="center"/>
              <w:rPr>
                <w:rStyle w:val="17"/>
                <w:rFonts w:ascii="宋体" w:hAnsi="宋体" w:cs="宋体"/>
                <w:bCs/>
                <w:kern w:val="0"/>
                <w:sz w:val="24"/>
                <w:szCs w:val="24"/>
              </w:rPr>
            </w:pPr>
            <w:r>
              <w:rPr>
                <w:rStyle w:val="17"/>
                <w:rFonts w:ascii="宋体" w:hAnsi="宋体" w:cs="宋体"/>
                <w:bCs/>
                <w:kern w:val="0"/>
                <w:sz w:val="24"/>
                <w:szCs w:val="24"/>
              </w:rPr>
              <w:t>3</w:t>
            </w:r>
          </w:p>
        </w:tc>
        <w:tc>
          <w:tcPr>
            <w:tcW w:w="1424" w:type="dxa"/>
            <w:tcBorders>
              <w:top w:val="nil"/>
              <w:left w:val="nil"/>
              <w:bottom w:val="single" w:color="000000" w:sz="4" w:space="0"/>
              <w:right w:val="single" w:color="000000" w:sz="4" w:space="0"/>
            </w:tcBorders>
            <w:vAlign w:val="center"/>
          </w:tcPr>
          <w:p>
            <w:pPr>
              <w:rPr>
                <w:rStyle w:val="17"/>
                <w:rFonts w:ascii="宋体" w:hAnsi="宋体" w:cs="宋体"/>
                <w:bCs/>
                <w:sz w:val="24"/>
                <w:szCs w:val="24"/>
              </w:rPr>
            </w:pPr>
          </w:p>
        </w:tc>
        <w:tc>
          <w:tcPr>
            <w:tcW w:w="2034" w:type="dxa"/>
            <w:tcBorders>
              <w:top w:val="nil"/>
              <w:left w:val="nil"/>
              <w:bottom w:val="single" w:color="000000" w:sz="4" w:space="0"/>
              <w:right w:val="single" w:color="000000" w:sz="4" w:space="0"/>
            </w:tcBorders>
            <w:vAlign w:val="center"/>
          </w:tcPr>
          <w:p>
            <w:pPr>
              <w:rPr>
                <w:rStyle w:val="17"/>
                <w:rFonts w:ascii="宋体" w:hAnsi="宋体" w:cs="宋体"/>
                <w:bCs/>
                <w:sz w:val="24"/>
                <w:szCs w:val="24"/>
              </w:rPr>
            </w:pPr>
          </w:p>
        </w:tc>
        <w:tc>
          <w:tcPr>
            <w:tcW w:w="1233" w:type="dxa"/>
            <w:tcBorders>
              <w:top w:val="nil"/>
              <w:left w:val="nil"/>
              <w:bottom w:val="single" w:color="000000" w:sz="4" w:space="0"/>
              <w:right w:val="single" w:color="000000" w:sz="4" w:space="0"/>
            </w:tcBorders>
            <w:vAlign w:val="center"/>
          </w:tcPr>
          <w:p>
            <w:pPr>
              <w:jc w:val="center"/>
              <w:rPr>
                <w:rStyle w:val="17"/>
                <w:rFonts w:ascii="宋体" w:hAnsi="宋体" w:cs="宋体"/>
                <w:bCs/>
                <w:sz w:val="24"/>
                <w:szCs w:val="24"/>
              </w:rPr>
            </w:pPr>
          </w:p>
        </w:tc>
        <w:tc>
          <w:tcPr>
            <w:tcW w:w="1021" w:type="dxa"/>
            <w:tcBorders>
              <w:top w:val="nil"/>
              <w:left w:val="nil"/>
              <w:bottom w:val="single" w:color="000000" w:sz="4" w:space="0"/>
              <w:right w:val="single" w:color="000000" w:sz="4" w:space="0"/>
            </w:tcBorders>
            <w:vAlign w:val="center"/>
          </w:tcPr>
          <w:p>
            <w:pPr>
              <w:jc w:val="center"/>
              <w:rPr>
                <w:rStyle w:val="17"/>
                <w:rFonts w:ascii="宋体" w:hAnsi="宋体" w:cs="宋体"/>
                <w:bCs/>
                <w:sz w:val="24"/>
                <w:szCs w:val="24"/>
              </w:rPr>
            </w:pPr>
          </w:p>
        </w:tc>
        <w:tc>
          <w:tcPr>
            <w:tcW w:w="1896" w:type="dxa"/>
            <w:tcBorders>
              <w:top w:val="nil"/>
              <w:left w:val="nil"/>
              <w:bottom w:val="single" w:color="000000" w:sz="4" w:space="0"/>
              <w:right w:val="single" w:color="000000" w:sz="4" w:space="0"/>
            </w:tcBorders>
            <w:vAlign w:val="center"/>
          </w:tcPr>
          <w:p>
            <w:pPr>
              <w:jc w:val="center"/>
              <w:rPr>
                <w:rStyle w:val="17"/>
                <w:rFonts w:ascii="宋体" w:hAnsi="宋体" w:cs="宋体"/>
                <w:bCs/>
                <w:sz w:val="24"/>
                <w:szCs w:val="24"/>
              </w:rPr>
            </w:pPr>
          </w:p>
        </w:tc>
        <w:tc>
          <w:tcPr>
            <w:tcW w:w="851" w:type="dxa"/>
            <w:tcBorders>
              <w:top w:val="nil"/>
              <w:left w:val="nil"/>
              <w:bottom w:val="single" w:color="000000" w:sz="4" w:space="0"/>
              <w:right w:val="single" w:color="000000" w:sz="4" w:space="0"/>
            </w:tcBorders>
            <w:vAlign w:val="center"/>
          </w:tcPr>
          <w:p>
            <w:pPr>
              <w:jc w:val="right"/>
              <w:rPr>
                <w:rStyle w:val="17"/>
                <w:rFonts w:ascii="宋体" w:hAnsi="宋体" w:cs="宋体"/>
                <w:bCs/>
                <w:color w:val="000000"/>
                <w:sz w:val="24"/>
                <w:szCs w:val="24"/>
              </w:rPr>
            </w:pPr>
          </w:p>
        </w:tc>
        <w:tc>
          <w:tcPr>
            <w:tcW w:w="920" w:type="dxa"/>
            <w:tcBorders>
              <w:top w:val="nil"/>
              <w:left w:val="nil"/>
              <w:bottom w:val="single" w:color="000000" w:sz="4" w:space="0"/>
              <w:right w:val="single" w:color="000000" w:sz="4" w:space="0"/>
            </w:tcBorders>
            <w:vAlign w:val="center"/>
          </w:tcPr>
          <w:p>
            <w:pPr>
              <w:jc w:val="center"/>
              <w:rPr>
                <w:rStyle w:val="17"/>
                <w:rFonts w:ascii="宋体" w:hAnsi="宋体" w:cs="宋体"/>
                <w:bCs/>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9041"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7"/>
                <w:rFonts w:ascii="宋体" w:hAnsi="宋体" w:cs="宋体"/>
                <w:bCs/>
                <w:sz w:val="24"/>
                <w:szCs w:val="24"/>
              </w:rPr>
            </w:pPr>
            <w:r>
              <w:rPr>
                <w:rStyle w:val="17"/>
                <w:rFonts w:ascii="宋体" w:hAnsi="宋体" w:cs="宋体"/>
                <w:bCs/>
                <w:sz w:val="24"/>
                <w:szCs w:val="24"/>
              </w:rPr>
              <w:t>以上合计：人民币大写</w:t>
            </w:r>
          </w:p>
        </w:tc>
        <w:tc>
          <w:tcPr>
            <w:tcW w:w="920" w:type="dxa"/>
            <w:tcBorders>
              <w:top w:val="single" w:color="000000" w:sz="4" w:space="0"/>
              <w:left w:val="nil"/>
              <w:bottom w:val="single" w:color="000000" w:sz="4" w:space="0"/>
              <w:right w:val="single" w:color="000000" w:sz="4" w:space="0"/>
            </w:tcBorders>
            <w:vAlign w:val="center"/>
          </w:tcPr>
          <w:p>
            <w:pPr>
              <w:jc w:val="center"/>
              <w:rPr>
                <w:rStyle w:val="17"/>
                <w:rFonts w:ascii="宋体" w:hAnsi="宋体" w:cs="宋体"/>
                <w:bCs/>
                <w:sz w:val="24"/>
                <w:szCs w:val="24"/>
              </w:rPr>
            </w:pPr>
          </w:p>
        </w:tc>
      </w:tr>
    </w:tbl>
    <w:p>
      <w:pPr>
        <w:spacing w:line="460" w:lineRule="exact"/>
        <w:rPr>
          <w:rStyle w:val="17"/>
          <w:rFonts w:ascii="宋体" w:hAnsi="宋体" w:cs="宋体"/>
          <w:bCs/>
          <w:sz w:val="24"/>
          <w:szCs w:val="21"/>
        </w:rPr>
      </w:pPr>
    </w:p>
    <w:p>
      <w:pPr>
        <w:rPr>
          <w:rStyle w:val="17"/>
          <w:rFonts w:ascii="宋体" w:hAnsi="宋体"/>
          <w:sz w:val="24"/>
        </w:rPr>
      </w:pPr>
    </w:p>
    <w:p>
      <w:pPr>
        <w:rPr>
          <w:rStyle w:val="17"/>
          <w:rFonts w:ascii="宋体" w:hAnsi="宋体"/>
          <w:sz w:val="24"/>
        </w:rPr>
      </w:pPr>
      <w:r>
        <w:rPr>
          <w:rStyle w:val="17"/>
          <w:rFonts w:ascii="宋体" w:hAnsi="宋体"/>
          <w:sz w:val="24"/>
        </w:rPr>
        <w:t>法定代表人或授权代表签字：</w:t>
      </w:r>
    </w:p>
    <w:p>
      <w:pPr>
        <w:ind w:firstLine="480"/>
        <w:jc w:val="right"/>
        <w:rPr>
          <w:rStyle w:val="17"/>
          <w:rFonts w:ascii="宋体" w:hAnsi="宋体"/>
          <w:sz w:val="24"/>
        </w:rPr>
      </w:pPr>
      <w:r>
        <w:rPr>
          <w:rStyle w:val="17"/>
          <w:rFonts w:ascii="宋体" w:hAnsi="宋体"/>
          <w:sz w:val="24"/>
        </w:rPr>
        <w:t xml:space="preserve">日期：  </w:t>
      </w:r>
      <w:r>
        <w:rPr>
          <w:rStyle w:val="17"/>
          <w:rFonts w:ascii="宋体" w:hAnsi="宋体"/>
          <w:sz w:val="24"/>
          <w:u w:val="single" w:color="000000"/>
        </w:rPr>
        <w:t xml:space="preserve">     </w:t>
      </w:r>
      <w:r>
        <w:rPr>
          <w:rStyle w:val="17"/>
          <w:rFonts w:ascii="宋体" w:hAnsi="宋体"/>
          <w:sz w:val="24"/>
        </w:rPr>
        <w:t>年</w:t>
      </w:r>
      <w:r>
        <w:rPr>
          <w:rStyle w:val="17"/>
          <w:rFonts w:ascii="宋体" w:hAnsi="宋体"/>
          <w:sz w:val="24"/>
          <w:u w:val="single" w:color="000000"/>
        </w:rPr>
        <w:t xml:space="preserve">   </w:t>
      </w:r>
      <w:r>
        <w:rPr>
          <w:rStyle w:val="17"/>
          <w:rFonts w:ascii="宋体" w:hAnsi="宋体"/>
          <w:sz w:val="24"/>
        </w:rPr>
        <w:t>月</w:t>
      </w:r>
      <w:r>
        <w:rPr>
          <w:rStyle w:val="17"/>
          <w:rFonts w:ascii="宋体" w:hAnsi="宋体"/>
          <w:sz w:val="24"/>
          <w:u w:val="single" w:color="000000"/>
        </w:rPr>
        <w:t xml:space="preserve">   </w:t>
      </w:r>
      <w:r>
        <w:rPr>
          <w:rStyle w:val="17"/>
          <w:rFonts w:ascii="宋体" w:hAnsi="宋体"/>
          <w:sz w:val="24"/>
        </w:rPr>
        <w:t>日</w:t>
      </w:r>
    </w:p>
    <w:p>
      <w:pPr>
        <w:ind w:firstLine="480"/>
        <w:rPr>
          <w:rStyle w:val="17"/>
          <w:rFonts w:ascii="宋体" w:hAnsi="宋体"/>
          <w:sz w:val="24"/>
        </w:rPr>
      </w:pPr>
    </w:p>
    <w:p>
      <w:pPr>
        <w:ind w:firstLine="480"/>
        <w:rPr>
          <w:rStyle w:val="17"/>
          <w:rFonts w:ascii="宋体" w:hAnsi="宋体" w:cs="宋体"/>
          <w:bCs/>
          <w:sz w:val="24"/>
          <w:szCs w:val="21"/>
        </w:rPr>
      </w:pPr>
      <w:r>
        <w:rPr>
          <w:rStyle w:val="17"/>
          <w:rFonts w:ascii="宋体" w:hAnsi="宋体"/>
          <w:sz w:val="24"/>
        </w:rPr>
        <w:t>填写说明：</w:t>
      </w:r>
      <w:r>
        <w:rPr>
          <w:rStyle w:val="17"/>
          <w:rFonts w:ascii="宋体" w:hAnsi="宋体" w:cs="宋体"/>
          <w:bCs/>
          <w:iCs/>
          <w:sz w:val="24"/>
        </w:rPr>
        <w:t>开标一览表和分项报价表必须加盖询价单位公章（复印件无效）</w:t>
      </w:r>
      <w:r>
        <w:rPr>
          <w:rStyle w:val="17"/>
          <w:rFonts w:ascii="宋体" w:hAnsi="宋体"/>
          <w:sz w:val="24"/>
        </w:rPr>
        <w:t>。</w:t>
      </w:r>
    </w:p>
    <w:p>
      <w:pPr>
        <w:ind w:firstLine="641"/>
        <w:jc w:val="center"/>
        <w:rPr>
          <w:rStyle w:val="17"/>
          <w:rFonts w:ascii="宋体" w:hAnsi="宋体"/>
          <w:b/>
          <w:sz w:val="32"/>
          <w:szCs w:val="32"/>
        </w:rPr>
      </w:pPr>
    </w:p>
    <w:p>
      <w:pPr>
        <w:jc w:val="center"/>
        <w:rPr>
          <w:rStyle w:val="17"/>
          <w:rFonts w:ascii="宋体" w:hAnsi="宋体"/>
          <w:b/>
          <w:kern w:val="0"/>
          <w:sz w:val="32"/>
          <w:szCs w:val="32"/>
        </w:rPr>
      </w:pPr>
      <w:r>
        <w:rPr>
          <w:rStyle w:val="17"/>
          <w:rFonts w:ascii="宋体" w:hAnsi="宋体"/>
          <w:b/>
          <w:kern w:val="0"/>
          <w:sz w:val="32"/>
          <w:szCs w:val="32"/>
        </w:rPr>
        <w:br w:type="textWrapping"/>
      </w:r>
    </w:p>
    <w:p>
      <w:pPr>
        <w:jc w:val="center"/>
        <w:rPr>
          <w:rStyle w:val="17"/>
          <w:rFonts w:ascii="宋体"/>
          <w:sz w:val="32"/>
          <w:szCs w:val="32"/>
        </w:rPr>
      </w:pPr>
      <w:r>
        <w:rPr>
          <w:rStyle w:val="17"/>
          <w:rFonts w:ascii="宋体" w:hAnsi="宋体"/>
          <w:b/>
          <w:kern w:val="0"/>
          <w:sz w:val="32"/>
          <w:szCs w:val="32"/>
        </w:rPr>
        <w:t>中小企业声明函（货物）</w:t>
      </w:r>
    </w:p>
    <w:p>
      <w:pPr>
        <w:ind w:firstLine="560" w:firstLineChars="200"/>
        <w:jc w:val="left"/>
        <w:rPr>
          <w:rStyle w:val="17"/>
          <w:rFonts w:ascii="宋体"/>
          <w:sz w:val="28"/>
          <w:szCs w:val="28"/>
        </w:rPr>
      </w:pPr>
      <w:r>
        <w:rPr>
          <w:rStyle w:val="17"/>
          <w:rFonts w:ascii="宋体" w:hAnsi="宋体"/>
          <w:kern w:val="0"/>
          <w:sz w:val="28"/>
          <w:szCs w:val="28"/>
        </w:rPr>
        <w:t>本公司（联合体）郑重声明，根据《政府采购促进中小企业发展管理办法》（财库﹝2020﹞46 号）的规定，本公司（联合体）参加</w:t>
      </w:r>
      <w:r>
        <w:rPr>
          <w:rStyle w:val="17"/>
          <w:rFonts w:ascii="宋体" w:hAnsi="宋体"/>
          <w:i/>
          <w:kern w:val="0"/>
          <w:sz w:val="28"/>
          <w:szCs w:val="28"/>
          <w:u w:val="single" w:color="000000"/>
        </w:rPr>
        <w:t>（单位名称）</w:t>
      </w:r>
      <w:r>
        <w:rPr>
          <w:rStyle w:val="17"/>
          <w:rFonts w:ascii="宋体" w:hAnsi="宋体"/>
          <w:kern w:val="0"/>
          <w:sz w:val="28"/>
          <w:szCs w:val="28"/>
        </w:rPr>
        <w:t>的</w:t>
      </w:r>
      <w:r>
        <w:rPr>
          <w:rStyle w:val="17"/>
          <w:rFonts w:ascii="宋体" w:hAnsi="宋体"/>
          <w:i/>
          <w:kern w:val="0"/>
          <w:sz w:val="28"/>
          <w:szCs w:val="28"/>
          <w:u w:val="single" w:color="000000"/>
        </w:rPr>
        <w:t>（项目名称）</w:t>
      </w:r>
      <w:r>
        <w:rPr>
          <w:rStyle w:val="17"/>
          <w:rFonts w:ascii="宋体" w:hAnsi="宋体"/>
          <w:kern w:val="0"/>
          <w:sz w:val="28"/>
          <w:szCs w:val="28"/>
        </w:rPr>
        <w:t xml:space="preserve">采购活动，提供的货物全部由符合政策要求的中小企业制造。相关企业（含联合体中的中小企业、签订分包意向协议的中小企业）的具体情况如下： </w:t>
      </w:r>
    </w:p>
    <w:p>
      <w:pPr>
        <w:ind w:firstLine="560" w:firstLineChars="200"/>
        <w:jc w:val="left"/>
        <w:rPr>
          <w:rStyle w:val="17"/>
          <w:rFonts w:ascii="宋体"/>
          <w:sz w:val="28"/>
          <w:szCs w:val="28"/>
        </w:rPr>
      </w:pPr>
      <w:r>
        <w:rPr>
          <w:rStyle w:val="17"/>
          <w:rFonts w:ascii="宋体" w:hAnsi="宋体"/>
          <w:kern w:val="0"/>
          <w:sz w:val="28"/>
          <w:szCs w:val="28"/>
        </w:rPr>
        <w:t>1.</w:t>
      </w:r>
      <w:r>
        <w:rPr>
          <w:rStyle w:val="17"/>
          <w:rFonts w:ascii="宋体" w:hAnsi="宋体"/>
          <w:kern w:val="0"/>
          <w:sz w:val="28"/>
          <w:szCs w:val="28"/>
          <w:u w:val="single" w:color="000000"/>
        </w:rPr>
        <w:t xml:space="preserve"> </w:t>
      </w:r>
      <w:r>
        <w:rPr>
          <w:rStyle w:val="17"/>
          <w:rFonts w:ascii="宋体" w:hAnsi="宋体"/>
          <w:i/>
          <w:kern w:val="0"/>
          <w:sz w:val="28"/>
          <w:szCs w:val="28"/>
          <w:u w:val="single" w:color="000000"/>
        </w:rPr>
        <w:t xml:space="preserve">（标的名称） </w:t>
      </w:r>
      <w:r>
        <w:rPr>
          <w:rStyle w:val="17"/>
          <w:rFonts w:ascii="宋体" w:hAnsi="宋体"/>
          <w:kern w:val="0"/>
          <w:sz w:val="28"/>
          <w:szCs w:val="28"/>
        </w:rPr>
        <w:t>，属于</w:t>
      </w:r>
      <w:r>
        <w:rPr>
          <w:rStyle w:val="17"/>
          <w:rFonts w:ascii="宋体" w:hAnsi="宋体"/>
          <w:i/>
          <w:kern w:val="0"/>
          <w:sz w:val="28"/>
          <w:szCs w:val="28"/>
          <w:u w:val="single" w:color="000000"/>
        </w:rPr>
        <w:t>（采购文件中明确的所属行业）</w:t>
      </w:r>
      <w:r>
        <w:rPr>
          <w:rStyle w:val="17"/>
          <w:rFonts w:ascii="宋体" w:hAnsi="宋体"/>
          <w:i/>
          <w:kern w:val="0"/>
          <w:sz w:val="28"/>
          <w:szCs w:val="28"/>
        </w:rPr>
        <w:t>行业</w:t>
      </w:r>
      <w:r>
        <w:rPr>
          <w:rStyle w:val="17"/>
          <w:rFonts w:ascii="宋体" w:hAnsi="宋体"/>
          <w:kern w:val="0"/>
          <w:sz w:val="28"/>
          <w:szCs w:val="28"/>
        </w:rPr>
        <w:t>；制造商为</w:t>
      </w:r>
      <w:r>
        <w:rPr>
          <w:rStyle w:val="17"/>
          <w:rFonts w:ascii="宋体" w:hAnsi="宋体"/>
          <w:i/>
          <w:kern w:val="0"/>
          <w:sz w:val="28"/>
          <w:szCs w:val="28"/>
          <w:u w:val="single" w:color="000000"/>
        </w:rPr>
        <w:t>（企业名称）</w:t>
      </w:r>
      <w:r>
        <w:rPr>
          <w:rStyle w:val="17"/>
          <w:rFonts w:ascii="宋体" w:hAnsi="宋体"/>
          <w:kern w:val="0"/>
          <w:sz w:val="28"/>
          <w:szCs w:val="28"/>
        </w:rPr>
        <w:t>，从业人员</w:t>
      </w:r>
      <w:r>
        <w:rPr>
          <w:rStyle w:val="17"/>
          <w:rFonts w:ascii="宋体" w:hAnsi="宋体"/>
          <w:kern w:val="0"/>
          <w:sz w:val="28"/>
          <w:szCs w:val="28"/>
          <w:u w:val="single" w:color="000000"/>
        </w:rPr>
        <w:t xml:space="preserve">    </w:t>
      </w:r>
      <w:r>
        <w:rPr>
          <w:rStyle w:val="17"/>
          <w:rFonts w:ascii="宋体" w:hAnsi="宋体"/>
          <w:kern w:val="0"/>
          <w:sz w:val="28"/>
          <w:szCs w:val="28"/>
        </w:rPr>
        <w:t>人，营业收入为</w:t>
      </w:r>
      <w:r>
        <w:rPr>
          <w:rStyle w:val="17"/>
          <w:rFonts w:ascii="宋体" w:hAnsi="宋体"/>
          <w:kern w:val="0"/>
          <w:sz w:val="28"/>
          <w:szCs w:val="28"/>
          <w:u w:val="single" w:color="000000"/>
        </w:rPr>
        <w:t xml:space="preserve">    </w:t>
      </w:r>
      <w:r>
        <w:rPr>
          <w:rStyle w:val="17"/>
          <w:rFonts w:ascii="宋体" w:hAnsi="宋体"/>
          <w:kern w:val="0"/>
          <w:sz w:val="28"/>
          <w:szCs w:val="28"/>
        </w:rPr>
        <w:t>万元，资产总额为</w:t>
      </w:r>
      <w:r>
        <w:rPr>
          <w:rStyle w:val="17"/>
          <w:rFonts w:ascii="宋体" w:hAnsi="宋体"/>
          <w:kern w:val="0"/>
          <w:sz w:val="28"/>
          <w:szCs w:val="28"/>
          <w:u w:val="single" w:color="000000"/>
        </w:rPr>
        <w:t xml:space="preserve">    </w:t>
      </w:r>
      <w:r>
        <w:rPr>
          <w:rStyle w:val="17"/>
          <w:rFonts w:ascii="宋体" w:hAnsi="宋体"/>
          <w:kern w:val="0"/>
          <w:sz w:val="28"/>
          <w:szCs w:val="28"/>
        </w:rPr>
        <w:t>万元</w:t>
      </w:r>
      <w:r>
        <w:rPr>
          <w:rStyle w:val="17"/>
          <w:rFonts w:ascii="宋体" w:hAnsi="宋体"/>
          <w:kern w:val="0"/>
          <w:sz w:val="32"/>
          <w:szCs w:val="32"/>
          <w:vertAlign w:val="superscript"/>
        </w:rPr>
        <w:t>1</w:t>
      </w:r>
      <w:r>
        <w:rPr>
          <w:rStyle w:val="17"/>
          <w:rFonts w:ascii="宋体" w:hAnsi="宋体"/>
          <w:kern w:val="0"/>
          <w:sz w:val="28"/>
          <w:szCs w:val="28"/>
        </w:rPr>
        <w:t>，属于</w:t>
      </w:r>
      <w:r>
        <w:rPr>
          <w:rStyle w:val="17"/>
          <w:rFonts w:ascii="宋体" w:hAnsi="宋体"/>
          <w:i/>
          <w:kern w:val="0"/>
          <w:sz w:val="28"/>
          <w:szCs w:val="28"/>
          <w:u w:val="single" w:color="000000"/>
        </w:rPr>
        <w:t>（中型企业、小型企业、微型企业）</w:t>
      </w:r>
      <w:r>
        <w:rPr>
          <w:rStyle w:val="17"/>
          <w:rFonts w:ascii="宋体" w:hAnsi="宋体"/>
          <w:kern w:val="0"/>
          <w:sz w:val="28"/>
          <w:szCs w:val="28"/>
        </w:rPr>
        <w:t xml:space="preserve">； </w:t>
      </w:r>
    </w:p>
    <w:p>
      <w:pPr>
        <w:ind w:firstLine="560" w:firstLineChars="200"/>
        <w:jc w:val="left"/>
        <w:rPr>
          <w:rStyle w:val="17"/>
          <w:rFonts w:ascii="宋体"/>
          <w:sz w:val="28"/>
          <w:szCs w:val="28"/>
        </w:rPr>
      </w:pPr>
      <w:r>
        <w:rPr>
          <w:rStyle w:val="17"/>
          <w:rFonts w:ascii="宋体" w:hAnsi="宋体"/>
          <w:kern w:val="0"/>
          <w:sz w:val="28"/>
          <w:szCs w:val="28"/>
        </w:rPr>
        <w:t>2.</w:t>
      </w:r>
      <w:r>
        <w:rPr>
          <w:rStyle w:val="17"/>
          <w:rFonts w:ascii="宋体" w:hAnsi="宋体"/>
          <w:kern w:val="0"/>
          <w:sz w:val="28"/>
          <w:szCs w:val="28"/>
          <w:u w:val="single" w:color="000000"/>
        </w:rPr>
        <w:t xml:space="preserve"> </w:t>
      </w:r>
      <w:r>
        <w:rPr>
          <w:rStyle w:val="17"/>
          <w:rFonts w:ascii="宋体" w:hAnsi="宋体"/>
          <w:i/>
          <w:kern w:val="0"/>
          <w:sz w:val="28"/>
          <w:szCs w:val="28"/>
          <w:u w:val="single" w:color="000000"/>
        </w:rPr>
        <w:t xml:space="preserve">（标的名称） </w:t>
      </w:r>
      <w:r>
        <w:rPr>
          <w:rStyle w:val="17"/>
          <w:rFonts w:ascii="宋体" w:hAnsi="宋体"/>
          <w:kern w:val="0"/>
          <w:sz w:val="28"/>
          <w:szCs w:val="28"/>
        </w:rPr>
        <w:t>，属于</w:t>
      </w:r>
      <w:r>
        <w:rPr>
          <w:rStyle w:val="17"/>
          <w:rFonts w:ascii="宋体" w:hAnsi="宋体"/>
          <w:i/>
          <w:kern w:val="0"/>
          <w:sz w:val="28"/>
          <w:szCs w:val="28"/>
          <w:u w:val="single" w:color="000000"/>
        </w:rPr>
        <w:t>（采购文件中明确的所属行业）</w:t>
      </w:r>
      <w:r>
        <w:rPr>
          <w:rStyle w:val="17"/>
          <w:rFonts w:ascii="宋体" w:hAnsi="宋体"/>
          <w:i/>
          <w:kern w:val="0"/>
          <w:sz w:val="28"/>
          <w:szCs w:val="28"/>
        </w:rPr>
        <w:t>行业</w:t>
      </w:r>
      <w:r>
        <w:rPr>
          <w:rStyle w:val="17"/>
          <w:rFonts w:ascii="宋体" w:hAnsi="宋体"/>
          <w:kern w:val="0"/>
          <w:sz w:val="28"/>
          <w:szCs w:val="28"/>
        </w:rPr>
        <w:t>；制造商为</w:t>
      </w:r>
      <w:r>
        <w:rPr>
          <w:rStyle w:val="17"/>
          <w:rFonts w:ascii="宋体" w:hAnsi="宋体"/>
          <w:i/>
          <w:kern w:val="0"/>
          <w:sz w:val="28"/>
          <w:szCs w:val="28"/>
          <w:u w:val="single" w:color="000000"/>
        </w:rPr>
        <w:t>（企业名称）</w:t>
      </w:r>
      <w:r>
        <w:rPr>
          <w:rStyle w:val="17"/>
          <w:rFonts w:ascii="宋体" w:hAnsi="宋体"/>
          <w:kern w:val="0"/>
          <w:sz w:val="28"/>
          <w:szCs w:val="28"/>
        </w:rPr>
        <w:t>，从业人员</w:t>
      </w:r>
      <w:r>
        <w:rPr>
          <w:rStyle w:val="17"/>
          <w:rFonts w:ascii="宋体" w:hAnsi="宋体"/>
          <w:kern w:val="0"/>
          <w:sz w:val="28"/>
          <w:szCs w:val="28"/>
          <w:u w:val="single" w:color="000000"/>
        </w:rPr>
        <w:t xml:space="preserve">    </w:t>
      </w:r>
      <w:r>
        <w:rPr>
          <w:rStyle w:val="17"/>
          <w:rFonts w:ascii="宋体" w:hAnsi="宋体"/>
          <w:kern w:val="0"/>
          <w:sz w:val="28"/>
          <w:szCs w:val="28"/>
        </w:rPr>
        <w:t>人，营业收入为</w:t>
      </w:r>
      <w:r>
        <w:rPr>
          <w:rStyle w:val="17"/>
          <w:rFonts w:ascii="宋体" w:hAnsi="宋体"/>
          <w:kern w:val="0"/>
          <w:sz w:val="28"/>
          <w:szCs w:val="28"/>
          <w:u w:val="single" w:color="000000"/>
        </w:rPr>
        <w:t xml:space="preserve">    </w:t>
      </w:r>
      <w:r>
        <w:rPr>
          <w:rStyle w:val="17"/>
          <w:rFonts w:ascii="宋体" w:hAnsi="宋体"/>
          <w:kern w:val="0"/>
          <w:sz w:val="28"/>
          <w:szCs w:val="28"/>
        </w:rPr>
        <w:t>万元，资产总额为</w:t>
      </w:r>
      <w:r>
        <w:rPr>
          <w:rStyle w:val="17"/>
          <w:rFonts w:ascii="宋体" w:hAnsi="宋体"/>
          <w:kern w:val="0"/>
          <w:sz w:val="28"/>
          <w:szCs w:val="28"/>
          <w:u w:val="single" w:color="000000"/>
        </w:rPr>
        <w:t xml:space="preserve">    </w:t>
      </w:r>
      <w:r>
        <w:rPr>
          <w:rStyle w:val="17"/>
          <w:rFonts w:ascii="宋体" w:hAnsi="宋体"/>
          <w:kern w:val="0"/>
          <w:sz w:val="28"/>
          <w:szCs w:val="28"/>
        </w:rPr>
        <w:t>万元，属于</w:t>
      </w:r>
      <w:r>
        <w:rPr>
          <w:rStyle w:val="17"/>
          <w:rFonts w:ascii="宋体" w:hAnsi="宋体"/>
          <w:i/>
          <w:kern w:val="0"/>
          <w:sz w:val="28"/>
          <w:szCs w:val="28"/>
          <w:u w:val="single" w:color="000000"/>
        </w:rPr>
        <w:t>（中型企业、小型企业、微型企业）</w:t>
      </w:r>
      <w:r>
        <w:rPr>
          <w:rStyle w:val="17"/>
          <w:rFonts w:ascii="宋体" w:hAnsi="宋体"/>
          <w:kern w:val="0"/>
          <w:sz w:val="28"/>
          <w:szCs w:val="28"/>
        </w:rPr>
        <w:t xml:space="preserve">； </w:t>
      </w:r>
    </w:p>
    <w:p>
      <w:pPr>
        <w:ind w:firstLine="560" w:firstLineChars="200"/>
        <w:jc w:val="left"/>
        <w:rPr>
          <w:rStyle w:val="17"/>
          <w:rFonts w:ascii="宋体"/>
          <w:sz w:val="28"/>
          <w:szCs w:val="28"/>
        </w:rPr>
      </w:pPr>
      <w:r>
        <w:rPr>
          <w:rStyle w:val="17"/>
          <w:rFonts w:ascii="宋体" w:hAnsi="宋体"/>
          <w:kern w:val="0"/>
          <w:sz w:val="28"/>
          <w:szCs w:val="28"/>
        </w:rPr>
        <w:t>……</w:t>
      </w:r>
    </w:p>
    <w:p>
      <w:pPr>
        <w:ind w:firstLine="560" w:firstLineChars="200"/>
        <w:jc w:val="left"/>
        <w:rPr>
          <w:rStyle w:val="17"/>
          <w:rFonts w:ascii="宋体"/>
          <w:sz w:val="28"/>
          <w:szCs w:val="28"/>
        </w:rPr>
      </w:pPr>
      <w:r>
        <w:rPr>
          <w:rStyle w:val="17"/>
          <w:rFonts w:ascii="宋体" w:hAnsi="宋体"/>
          <w:kern w:val="0"/>
          <w:sz w:val="28"/>
          <w:szCs w:val="28"/>
        </w:rPr>
        <w:t>以上企业，不属于大企业的分支机构，不存在控股股东为大企业的情形，也不存在与大企业的负责人为同一人的情形。</w:t>
      </w:r>
    </w:p>
    <w:p>
      <w:pPr>
        <w:ind w:firstLine="560" w:firstLineChars="200"/>
        <w:jc w:val="left"/>
        <w:rPr>
          <w:rStyle w:val="17"/>
          <w:rFonts w:ascii="宋体"/>
          <w:sz w:val="28"/>
          <w:szCs w:val="28"/>
        </w:rPr>
      </w:pPr>
      <w:r>
        <w:rPr>
          <w:rStyle w:val="17"/>
          <w:rFonts w:ascii="宋体" w:hAnsi="宋体"/>
          <w:kern w:val="0"/>
          <w:sz w:val="28"/>
          <w:szCs w:val="28"/>
        </w:rPr>
        <w:t xml:space="preserve">本企业对上述声明内容的真实性负责。如有虚假，将依法承担相应责任。 </w:t>
      </w:r>
    </w:p>
    <w:p>
      <w:pPr>
        <w:jc w:val="left"/>
        <w:rPr>
          <w:rStyle w:val="17"/>
          <w:rFonts w:ascii="宋体"/>
          <w:kern w:val="0"/>
          <w:sz w:val="28"/>
          <w:szCs w:val="28"/>
        </w:rPr>
      </w:pPr>
    </w:p>
    <w:p>
      <w:pPr>
        <w:ind w:firstLine="5040" w:firstLineChars="1800"/>
        <w:jc w:val="left"/>
        <w:rPr>
          <w:rStyle w:val="17"/>
          <w:rFonts w:ascii="宋体"/>
          <w:sz w:val="28"/>
          <w:szCs w:val="28"/>
        </w:rPr>
      </w:pPr>
      <w:r>
        <w:rPr>
          <w:rStyle w:val="17"/>
          <w:rFonts w:ascii="宋体" w:hAnsi="宋体"/>
          <w:kern w:val="0"/>
          <w:sz w:val="28"/>
          <w:szCs w:val="28"/>
        </w:rPr>
        <w:t xml:space="preserve">企业名称（盖章）： </w:t>
      </w:r>
    </w:p>
    <w:p>
      <w:pPr>
        <w:ind w:firstLine="5040" w:firstLineChars="1800"/>
        <w:jc w:val="left"/>
        <w:rPr>
          <w:rStyle w:val="17"/>
          <w:rFonts w:ascii="宋体"/>
          <w:sz w:val="28"/>
          <w:szCs w:val="28"/>
        </w:rPr>
      </w:pPr>
      <w:r>
        <w:rPr>
          <w:rStyle w:val="17"/>
          <w:rFonts w:ascii="宋体" w:hAnsi="宋体"/>
          <w:kern w:val="0"/>
          <w:sz w:val="28"/>
          <w:szCs w:val="28"/>
        </w:rPr>
        <w:t xml:space="preserve">日 期： </w:t>
      </w:r>
    </w:p>
    <w:p>
      <w:pPr>
        <w:jc w:val="left"/>
        <w:rPr>
          <w:rStyle w:val="17"/>
          <w:rFonts w:ascii="宋体"/>
          <w:kern w:val="0"/>
          <w:sz w:val="28"/>
          <w:szCs w:val="28"/>
        </w:rPr>
      </w:pPr>
    </w:p>
    <w:p>
      <w:pPr>
        <w:jc w:val="left"/>
        <w:rPr>
          <w:rStyle w:val="17"/>
          <w:rFonts w:ascii="宋体"/>
          <w:kern w:val="0"/>
          <w:sz w:val="28"/>
          <w:szCs w:val="28"/>
        </w:rPr>
      </w:pPr>
    </w:p>
    <w:p>
      <w:pPr>
        <w:jc w:val="left"/>
        <w:rPr>
          <w:rStyle w:val="17"/>
          <w:rFonts w:ascii="宋体"/>
          <w:kern w:val="0"/>
          <w:sz w:val="24"/>
        </w:rPr>
      </w:pPr>
    </w:p>
    <w:p>
      <w:pPr>
        <w:jc w:val="left"/>
        <w:rPr>
          <w:rStyle w:val="17"/>
          <w:rFonts w:ascii="宋体"/>
          <w:kern w:val="0"/>
          <w:sz w:val="24"/>
        </w:rPr>
      </w:pPr>
    </w:p>
    <w:p>
      <w:pPr>
        <w:jc w:val="left"/>
        <w:rPr>
          <w:rStyle w:val="17"/>
          <w:rFonts w:ascii="宋体"/>
          <w:kern w:val="0"/>
          <w:sz w:val="24"/>
          <w:u w:val="single"/>
        </w:rPr>
      </w:pPr>
      <w:r>
        <w:rPr>
          <w:rStyle w:val="17"/>
          <w:rFonts w:ascii="宋体" w:hAnsi="宋体"/>
          <w:kern w:val="0"/>
          <w:sz w:val="24"/>
          <w:u w:val="single" w:color="000000"/>
        </w:rPr>
        <w:t xml:space="preserve">                                                                                 </w:t>
      </w:r>
    </w:p>
    <w:p>
      <w:pPr>
        <w:jc w:val="left"/>
        <w:rPr>
          <w:rStyle w:val="17"/>
          <w:rFonts w:ascii="宋体"/>
          <w:kern w:val="0"/>
          <w:sz w:val="28"/>
          <w:szCs w:val="28"/>
        </w:rPr>
      </w:pPr>
      <w:r>
        <w:rPr>
          <w:rStyle w:val="17"/>
          <w:rFonts w:ascii="宋体" w:hAnsi="宋体"/>
          <w:kern w:val="0"/>
          <w:sz w:val="28"/>
          <w:szCs w:val="28"/>
          <w:vertAlign w:val="superscript"/>
        </w:rPr>
        <w:t>1</w:t>
      </w:r>
      <w:r>
        <w:rPr>
          <w:rStyle w:val="17"/>
          <w:rFonts w:ascii="宋体" w:hAnsi="宋体"/>
          <w:kern w:val="0"/>
          <w:sz w:val="24"/>
        </w:rPr>
        <w:t>从业人员、营业收入、资产总额填报上一年度数据，无上一年度数据的新成立企业可不填报。</w:t>
      </w:r>
    </w:p>
    <w:sectPr>
      <w:headerReference r:id="rId3" w:type="default"/>
      <w:footerReference r:id="rId4" w:type="default"/>
      <w:pgSz w:w="11906" w:h="16838"/>
      <w:pgMar w:top="1303" w:right="1134" w:bottom="1134" w:left="1134"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margin" w:hAnchor="text" w:xAlign="center" w:yAlign="top"/>
      <w:pBdr>
        <w:between w:val="none" w:color="000000" w:sz="0" w:space="0"/>
      </w:pBdr>
      <w:rPr>
        <w:rStyle w:val="17"/>
      </w:rPr>
    </w:pPr>
    <w:r>
      <w:rPr>
        <w:rStyle w:val="36"/>
      </w:rPr>
      <w:t>第  页 共 36 页</w:t>
    </w:r>
  </w:p>
  <w:p>
    <w:pPr>
      <w:rPr>
        <w:rStyle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Style w:val="17"/>
        <w:rFonts w:eastAsia="楷体_GB2312"/>
        <w:i/>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TAyNjhiMzdkYjYwOTI5MDJjMTVhN2I0YjI4MDFmZWUifQ=="/>
  </w:docVars>
  <w:rsids>
    <w:rsidRoot w:val="00650C5E"/>
    <w:rsid w:val="00240947"/>
    <w:rsid w:val="002F2303"/>
    <w:rsid w:val="00303EB6"/>
    <w:rsid w:val="00380FD9"/>
    <w:rsid w:val="004B5762"/>
    <w:rsid w:val="004D1E74"/>
    <w:rsid w:val="005162DB"/>
    <w:rsid w:val="006501AE"/>
    <w:rsid w:val="00650C5E"/>
    <w:rsid w:val="006917FB"/>
    <w:rsid w:val="006C00B5"/>
    <w:rsid w:val="007014ED"/>
    <w:rsid w:val="00710BA4"/>
    <w:rsid w:val="0074293D"/>
    <w:rsid w:val="007C1ADB"/>
    <w:rsid w:val="007E1512"/>
    <w:rsid w:val="008A6829"/>
    <w:rsid w:val="008C7FB8"/>
    <w:rsid w:val="00946989"/>
    <w:rsid w:val="009B063D"/>
    <w:rsid w:val="00E17769"/>
    <w:rsid w:val="00EB679D"/>
    <w:rsid w:val="00ED75D6"/>
    <w:rsid w:val="00F05E9E"/>
    <w:rsid w:val="301E2D95"/>
    <w:rsid w:val="47AD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BodyText1I2"/>
    <w:basedOn w:val="3"/>
    <w:uiPriority w:val="0"/>
    <w:pPr>
      <w:ind w:firstLine="420" w:firstLineChars="200"/>
    </w:pPr>
    <w:rPr>
      <w:rFonts w:eastAsia="楷体_GB2312"/>
      <w:sz w:val="26"/>
    </w:rPr>
  </w:style>
  <w:style w:type="paragraph" w:customStyle="1" w:styleId="3">
    <w:name w:val="BodyTextIndent"/>
    <w:basedOn w:val="1"/>
    <w:next w:val="4"/>
    <w:link w:val="19"/>
    <w:uiPriority w:val="0"/>
    <w:pPr>
      <w:spacing w:after="120"/>
      <w:ind w:left="420" w:leftChars="200"/>
    </w:pPr>
  </w:style>
  <w:style w:type="paragraph" w:customStyle="1" w:styleId="4">
    <w:name w:val="EnvelopeReturn"/>
    <w:basedOn w:val="1"/>
    <w:uiPriority w:val="0"/>
    <w:pPr>
      <w:snapToGrid w:val="0"/>
    </w:pPr>
    <w:rPr>
      <w:rFonts w:ascii="Arial" w:hAnsi="Arial"/>
    </w:rPr>
  </w:style>
  <w:style w:type="paragraph" w:styleId="5">
    <w:name w:val="Date"/>
    <w:basedOn w:val="1"/>
    <w:next w:val="1"/>
    <w:qFormat/>
    <w:uiPriority w:val="0"/>
    <w:pPr>
      <w:ind w:left="100" w:leftChars="2500"/>
    </w:pPr>
    <w:rPr>
      <w:szCs w:val="24"/>
    </w:rPr>
  </w:style>
  <w:style w:type="paragraph" w:styleId="6">
    <w:name w:val="footer"/>
    <w:basedOn w:val="1"/>
    <w:link w:val="32"/>
    <w:qFormat/>
    <w:uiPriority w:val="0"/>
    <w:pPr>
      <w:tabs>
        <w:tab w:val="center" w:pos="4153"/>
        <w:tab w:val="right" w:pos="8306"/>
      </w:tabs>
      <w:snapToGrid w:val="0"/>
      <w:jc w:val="left"/>
    </w:pPr>
    <w:rPr>
      <w:sz w:val="18"/>
    </w:rPr>
  </w:style>
  <w:style w:type="paragraph" w:styleId="7">
    <w:name w:val="header"/>
    <w:basedOn w:val="1"/>
    <w:link w:val="33"/>
    <w:qFormat/>
    <w:uiPriority w:val="0"/>
    <w:pPr>
      <w:pBdr>
        <w:bottom w:val="single" w:color="000000" w:sz="6" w:space="1"/>
      </w:pBdr>
      <w:tabs>
        <w:tab w:val="center" w:pos="4153"/>
        <w:tab w:val="right" w:pos="8306"/>
      </w:tabs>
      <w:snapToGrid w:val="0"/>
      <w:jc w:val="center"/>
    </w:pPr>
    <w:rPr>
      <w:sz w:val="18"/>
    </w:rPr>
  </w:style>
  <w:style w:type="character" w:styleId="10">
    <w:name w:val="FollowedHyperlink"/>
    <w:qFormat/>
    <w:uiPriority w:val="0"/>
    <w:rPr>
      <w:color w:val="800080"/>
    </w:rPr>
  </w:style>
  <w:style w:type="character" w:styleId="11">
    <w:name w:val="Hyperlink"/>
    <w:qFormat/>
    <w:uiPriority w:val="0"/>
    <w:rPr>
      <w:color w:val="0000FF"/>
    </w:rPr>
  </w:style>
  <w:style w:type="paragraph" w:customStyle="1" w:styleId="12">
    <w:name w:val="Heading1"/>
    <w:basedOn w:val="1"/>
    <w:next w:val="1"/>
    <w:uiPriority w:val="0"/>
    <w:pPr>
      <w:keepNext/>
      <w:keepLines/>
      <w:spacing w:before="340" w:after="330" w:line="578" w:lineRule="atLeast"/>
    </w:pPr>
    <w:rPr>
      <w:kern w:val="44"/>
      <w:sz w:val="44"/>
      <w:szCs w:val="44"/>
    </w:rPr>
  </w:style>
  <w:style w:type="paragraph" w:customStyle="1" w:styleId="13">
    <w:name w:val="Heading2"/>
    <w:basedOn w:val="1"/>
    <w:next w:val="14"/>
    <w:uiPriority w:val="0"/>
    <w:pPr>
      <w:keepNext/>
      <w:keepLines/>
      <w:spacing w:before="120" w:after="120"/>
      <w:jc w:val="center"/>
    </w:pPr>
    <w:rPr>
      <w:rFonts w:ascii="Arial" w:hAnsi="Arial" w:eastAsia="黑体"/>
      <w:kern w:val="0"/>
      <w:sz w:val="28"/>
      <w:szCs w:val="28"/>
    </w:rPr>
  </w:style>
  <w:style w:type="paragraph" w:customStyle="1" w:styleId="14">
    <w:name w:val="NormalIndent"/>
    <w:basedOn w:val="1"/>
    <w:link w:val="22"/>
    <w:uiPriority w:val="0"/>
    <w:pPr>
      <w:ind w:firstLine="420"/>
    </w:pPr>
  </w:style>
  <w:style w:type="paragraph" w:customStyle="1" w:styleId="15">
    <w:name w:val="Heading3"/>
    <w:basedOn w:val="1"/>
    <w:next w:val="14"/>
    <w:uiPriority w:val="0"/>
    <w:pPr>
      <w:keepNext/>
      <w:keepLines/>
      <w:spacing w:before="120" w:after="120"/>
    </w:pPr>
    <w:rPr>
      <w:rFonts w:eastAsia="黑体"/>
      <w:kern w:val="0"/>
      <w:sz w:val="32"/>
    </w:rPr>
  </w:style>
  <w:style w:type="paragraph" w:customStyle="1" w:styleId="16">
    <w:name w:val="Heading4"/>
    <w:basedOn w:val="1"/>
    <w:next w:val="1"/>
    <w:uiPriority w:val="0"/>
    <w:pPr>
      <w:keepNext/>
      <w:keepLines/>
      <w:spacing w:before="280" w:after="290" w:line="376" w:lineRule="auto"/>
    </w:pPr>
    <w:rPr>
      <w:rFonts w:ascii="Cambria" w:hAnsi="Cambria"/>
      <w:sz w:val="28"/>
      <w:szCs w:val="28"/>
    </w:rPr>
  </w:style>
  <w:style w:type="character" w:customStyle="1" w:styleId="17">
    <w:name w:val="NormalCharacter"/>
    <w:uiPriority w:val="0"/>
  </w:style>
  <w:style w:type="table" w:customStyle="1" w:styleId="18">
    <w:name w:val="TableNormal"/>
    <w:semiHidden/>
    <w:uiPriority w:val="0"/>
    <w:tblPr>
      <w:tblCellMar>
        <w:top w:w="0" w:type="dxa"/>
        <w:left w:w="0" w:type="dxa"/>
        <w:bottom w:w="0" w:type="dxa"/>
        <w:right w:w="0" w:type="dxa"/>
      </w:tblCellMar>
    </w:tblPr>
  </w:style>
  <w:style w:type="character" w:customStyle="1" w:styleId="19">
    <w:name w:val="UserStyle_0"/>
    <w:link w:val="3"/>
    <w:uiPriority w:val="0"/>
    <w:rPr>
      <w:kern w:val="2"/>
      <w:sz w:val="21"/>
    </w:rPr>
  </w:style>
  <w:style w:type="character" w:customStyle="1" w:styleId="20">
    <w:name w:val="UserStyle_1"/>
    <w:uiPriority w:val="0"/>
    <w:rPr>
      <w:rFonts w:eastAsia="宋体" w:cs="Times New Roman"/>
      <w:b/>
      <w:bCs/>
      <w:kern w:val="44"/>
      <w:sz w:val="44"/>
      <w:szCs w:val="44"/>
      <w:lang w:val="en-US" w:eastAsia="zh-CN" w:bidi="ar-SA"/>
    </w:rPr>
  </w:style>
  <w:style w:type="character" w:customStyle="1" w:styleId="21">
    <w:name w:val="UserStyle_2"/>
    <w:uiPriority w:val="0"/>
    <w:rPr>
      <w:rFonts w:ascii="Arial" w:hAnsi="Arial" w:eastAsia="黑体"/>
      <w:b/>
      <w:sz w:val="28"/>
      <w:szCs w:val="28"/>
    </w:rPr>
  </w:style>
  <w:style w:type="character" w:customStyle="1" w:styleId="22">
    <w:name w:val="UserStyle_3"/>
    <w:link w:val="14"/>
    <w:uiPriority w:val="0"/>
    <w:rPr>
      <w:rFonts w:eastAsia="宋体"/>
      <w:kern w:val="2"/>
      <w:sz w:val="21"/>
      <w:lang w:val="en-US" w:eastAsia="zh-CN" w:bidi="ar-SA"/>
    </w:rPr>
  </w:style>
  <w:style w:type="character" w:customStyle="1" w:styleId="23">
    <w:name w:val="UserStyle_4"/>
    <w:uiPriority w:val="0"/>
    <w:rPr>
      <w:rFonts w:eastAsia="黑体"/>
      <w:b/>
      <w:sz w:val="32"/>
    </w:rPr>
  </w:style>
  <w:style w:type="character" w:customStyle="1" w:styleId="24">
    <w:name w:val="UserStyle_5"/>
    <w:semiHidden/>
    <w:qFormat/>
    <w:uiPriority w:val="0"/>
    <w:rPr>
      <w:rFonts w:ascii="Cambria" w:hAnsi="Cambria" w:eastAsia="宋体" w:cs="Times New Roman"/>
      <w:b/>
      <w:bCs/>
      <w:kern w:val="2"/>
      <w:sz w:val="28"/>
      <w:szCs w:val="28"/>
    </w:rPr>
  </w:style>
  <w:style w:type="paragraph" w:customStyle="1" w:styleId="25">
    <w:name w:val="NavPane"/>
    <w:basedOn w:val="1"/>
    <w:semiHidden/>
    <w:qFormat/>
    <w:uiPriority w:val="0"/>
    <w:pPr>
      <w:shd w:val="clear" w:color="auto" w:fill="000080"/>
    </w:pPr>
  </w:style>
  <w:style w:type="paragraph" w:customStyle="1" w:styleId="26">
    <w:name w:val="AnnotationText"/>
    <w:basedOn w:val="1"/>
    <w:qFormat/>
    <w:uiPriority w:val="0"/>
    <w:pPr>
      <w:jc w:val="left"/>
    </w:pPr>
  </w:style>
  <w:style w:type="paragraph" w:customStyle="1" w:styleId="27">
    <w:name w:val="BodyText"/>
    <w:basedOn w:val="1"/>
    <w:next w:val="28"/>
    <w:qFormat/>
    <w:uiPriority w:val="0"/>
    <w:pPr>
      <w:spacing w:after="120"/>
    </w:pPr>
  </w:style>
  <w:style w:type="paragraph" w:customStyle="1" w:styleId="28">
    <w:name w:val="BodyText2"/>
    <w:basedOn w:val="1"/>
    <w:next w:val="27"/>
    <w:qFormat/>
    <w:uiPriority w:val="0"/>
    <w:pPr>
      <w:spacing w:after="120" w:line="480" w:lineRule="auto"/>
    </w:pPr>
    <w:rPr>
      <w:kern w:val="0"/>
      <w:sz w:val="20"/>
    </w:rPr>
  </w:style>
  <w:style w:type="paragraph" w:customStyle="1" w:styleId="29">
    <w:name w:val="PlainText"/>
    <w:basedOn w:val="1"/>
    <w:qFormat/>
    <w:uiPriority w:val="0"/>
    <w:pPr>
      <w:jc w:val="left"/>
    </w:pPr>
    <w:rPr>
      <w:rFonts w:ascii="宋体" w:hAnsi="Courier New"/>
      <w:kern w:val="0"/>
    </w:rPr>
  </w:style>
  <w:style w:type="paragraph" w:customStyle="1" w:styleId="30">
    <w:name w:val="BodyTextIndent2"/>
    <w:basedOn w:val="1"/>
    <w:qFormat/>
    <w:uiPriority w:val="0"/>
    <w:pPr>
      <w:spacing w:after="120" w:line="480" w:lineRule="auto"/>
      <w:ind w:left="420" w:leftChars="200"/>
    </w:pPr>
  </w:style>
  <w:style w:type="paragraph" w:customStyle="1" w:styleId="31">
    <w:name w:val="Acetate"/>
    <w:basedOn w:val="1"/>
    <w:semiHidden/>
    <w:qFormat/>
    <w:uiPriority w:val="0"/>
    <w:rPr>
      <w:sz w:val="18"/>
      <w:szCs w:val="18"/>
    </w:rPr>
  </w:style>
  <w:style w:type="character" w:customStyle="1" w:styleId="32">
    <w:name w:val="页脚 字符"/>
    <w:link w:val="6"/>
    <w:qFormat/>
    <w:uiPriority w:val="0"/>
    <w:rPr>
      <w:rFonts w:eastAsia="宋体"/>
      <w:kern w:val="2"/>
      <w:sz w:val="18"/>
      <w:lang w:val="en-US" w:eastAsia="zh-CN" w:bidi="ar-SA"/>
    </w:rPr>
  </w:style>
  <w:style w:type="character" w:customStyle="1" w:styleId="33">
    <w:name w:val="页眉 字符"/>
    <w:link w:val="7"/>
    <w:qFormat/>
    <w:uiPriority w:val="0"/>
    <w:rPr>
      <w:rFonts w:eastAsia="宋体"/>
      <w:kern w:val="2"/>
      <w:sz w:val="18"/>
      <w:lang w:val="en-US" w:eastAsia="zh-CN" w:bidi="ar-SA"/>
    </w:rPr>
  </w:style>
  <w:style w:type="paragraph" w:customStyle="1" w:styleId="34">
    <w:name w:val="HtmlNormal"/>
    <w:basedOn w:val="1"/>
    <w:qFormat/>
    <w:uiPriority w:val="0"/>
    <w:pPr>
      <w:spacing w:before="100" w:beforeAutospacing="1" w:after="100" w:afterAutospacing="1"/>
      <w:jc w:val="left"/>
    </w:pPr>
    <w:rPr>
      <w:rFonts w:ascii="宋体" w:hAnsi="宋体"/>
      <w:kern w:val="0"/>
      <w:sz w:val="24"/>
      <w:szCs w:val="24"/>
    </w:rPr>
  </w:style>
  <w:style w:type="table" w:customStyle="1" w:styleId="35">
    <w:name w:val="TableGrid"/>
    <w:basedOn w:val="18"/>
    <w:qFormat/>
    <w:uiPriority w:val="0"/>
    <w:tblPr>
      <w:tblCellMar>
        <w:top w:w="0" w:type="dxa"/>
        <w:left w:w="0" w:type="dxa"/>
        <w:bottom w:w="0" w:type="dxa"/>
        <w:right w:w="0" w:type="dxa"/>
      </w:tblCellMar>
    </w:tblPr>
  </w:style>
  <w:style w:type="character" w:customStyle="1" w:styleId="36">
    <w:name w:val="PageNumber"/>
    <w:qFormat/>
    <w:uiPriority w:val="0"/>
  </w:style>
  <w:style w:type="character" w:customStyle="1" w:styleId="37">
    <w:name w:val="HtmlDfn"/>
    <w:qFormat/>
    <w:uiPriority w:val="0"/>
  </w:style>
  <w:style w:type="character" w:customStyle="1" w:styleId="38">
    <w:name w:val="HtmlTt"/>
    <w:qFormat/>
    <w:uiPriority w:val="0"/>
    <w:rPr>
      <w:rFonts w:ascii="monospace" w:hAnsi="monospace" w:eastAsia="monospace"/>
      <w:sz w:val="20"/>
    </w:rPr>
  </w:style>
  <w:style w:type="character" w:customStyle="1" w:styleId="39">
    <w:name w:val="HtmlAcronym"/>
    <w:qFormat/>
    <w:uiPriority w:val="0"/>
  </w:style>
  <w:style w:type="character" w:customStyle="1" w:styleId="40">
    <w:name w:val="HtmlVar"/>
    <w:qFormat/>
    <w:uiPriority w:val="0"/>
  </w:style>
  <w:style w:type="character" w:customStyle="1" w:styleId="41">
    <w:name w:val="HtmlCode"/>
    <w:qFormat/>
    <w:uiPriority w:val="0"/>
    <w:rPr>
      <w:rFonts w:ascii="monospace" w:hAnsi="monospace" w:eastAsia="monospace"/>
      <w:sz w:val="20"/>
    </w:rPr>
  </w:style>
  <w:style w:type="character" w:customStyle="1" w:styleId="42">
    <w:name w:val="HtmlCite"/>
    <w:qFormat/>
    <w:uiPriority w:val="0"/>
  </w:style>
  <w:style w:type="character" w:customStyle="1" w:styleId="43">
    <w:name w:val="HtmlKbd"/>
    <w:qFormat/>
    <w:uiPriority w:val="0"/>
    <w:rPr>
      <w:rFonts w:ascii="monospace" w:hAnsi="monospace" w:eastAsia="monospace"/>
      <w:sz w:val="20"/>
    </w:rPr>
  </w:style>
  <w:style w:type="character" w:customStyle="1" w:styleId="44">
    <w:name w:val="htmlSamp"/>
    <w:qFormat/>
    <w:uiPriority w:val="0"/>
    <w:rPr>
      <w:rFonts w:ascii="monospace" w:hAnsi="monospace" w:eastAsia="monospace"/>
    </w:rPr>
  </w:style>
  <w:style w:type="character" w:customStyle="1" w:styleId="45">
    <w:name w:val="UserStyle_8"/>
    <w:link w:val="46"/>
    <w:qFormat/>
    <w:locked/>
    <w:uiPriority w:val="0"/>
    <w:rPr>
      <w:rFonts w:ascii="仿宋_GB2312" w:hAnsi="宋体" w:eastAsia="仿宋_GB2312"/>
      <w:kern w:val="2"/>
      <w:sz w:val="31"/>
      <w:szCs w:val="28"/>
      <w:lang w:val="en-US" w:eastAsia="zh-CN" w:bidi="ar-SA"/>
    </w:rPr>
  </w:style>
  <w:style w:type="paragraph" w:customStyle="1" w:styleId="46">
    <w:name w:val="UserStyle_9"/>
    <w:basedOn w:val="1"/>
    <w:link w:val="45"/>
    <w:qFormat/>
    <w:uiPriority w:val="0"/>
    <w:pPr>
      <w:spacing w:line="600" w:lineRule="exact"/>
      <w:ind w:firstLine="639" w:firstLineChars="206"/>
    </w:pPr>
    <w:rPr>
      <w:rFonts w:ascii="仿宋_GB2312" w:hAnsi="宋体" w:eastAsia="仿宋_GB2312"/>
      <w:sz w:val="31"/>
      <w:szCs w:val="28"/>
    </w:rPr>
  </w:style>
  <w:style w:type="character" w:customStyle="1" w:styleId="47">
    <w:name w:val="UserStyle_10"/>
    <w:qFormat/>
    <w:uiPriority w:val="0"/>
    <w:rPr>
      <w:rFonts w:ascii="Times New Roman" w:hAnsi="Times New Roman"/>
      <w:color w:val="000000"/>
      <w:sz w:val="24"/>
      <w:szCs w:val="24"/>
    </w:rPr>
  </w:style>
  <w:style w:type="character" w:customStyle="1" w:styleId="48">
    <w:name w:val="UserStyle_11"/>
    <w:qFormat/>
    <w:uiPriority w:val="0"/>
    <w:rPr>
      <w:rFonts w:ascii="Calibri" w:hAnsi="Calibri" w:eastAsia="宋体"/>
      <w:kern w:val="2"/>
      <w:sz w:val="18"/>
      <w:szCs w:val="18"/>
    </w:rPr>
  </w:style>
  <w:style w:type="character" w:customStyle="1" w:styleId="49">
    <w:name w:val="UserStyle_12"/>
    <w:qFormat/>
    <w:uiPriority w:val="0"/>
    <w:rPr>
      <w:color w:val="5FB878"/>
    </w:rPr>
  </w:style>
  <w:style w:type="character" w:customStyle="1" w:styleId="50">
    <w:name w:val="UserStyle_13"/>
    <w:qFormat/>
    <w:uiPriority w:val="0"/>
    <w:rPr>
      <w:color w:val="FFFFFF"/>
    </w:rPr>
  </w:style>
  <w:style w:type="character" w:customStyle="1" w:styleId="51">
    <w:name w:val="UserStyle_14"/>
    <w:qFormat/>
    <w:uiPriority w:val="0"/>
    <w:rPr>
      <w:rFonts w:ascii="宋体" w:hAnsi="宋体" w:eastAsia="宋体"/>
      <w:color w:val="000000"/>
      <w:sz w:val="24"/>
      <w:szCs w:val="24"/>
    </w:rPr>
  </w:style>
  <w:style w:type="character" w:customStyle="1" w:styleId="52">
    <w:name w:val="UserStyle_15"/>
    <w:qFormat/>
    <w:uiPriority w:val="0"/>
    <w:rPr>
      <w:rFonts w:ascii="Times New Roman" w:hAnsi="Times New Roman"/>
      <w:color w:val="000000"/>
      <w:sz w:val="24"/>
      <w:szCs w:val="24"/>
    </w:rPr>
  </w:style>
  <w:style w:type="character" w:customStyle="1" w:styleId="53">
    <w:name w:val="UserStyle_16"/>
    <w:qFormat/>
    <w:uiPriority w:val="0"/>
    <w:rPr>
      <w:color w:val="5FB878"/>
    </w:rPr>
  </w:style>
  <w:style w:type="character" w:customStyle="1" w:styleId="54">
    <w:name w:val="UserStyle_17"/>
    <w:qFormat/>
    <w:uiPriority w:val="0"/>
    <w:rPr>
      <w:rFonts w:eastAsia="宋体"/>
      <w:b/>
      <w:spacing w:val="-2"/>
      <w:sz w:val="24"/>
      <w:lang w:val="en-US" w:eastAsia="zh-CN" w:bidi="ar-SA"/>
    </w:rPr>
  </w:style>
  <w:style w:type="character" w:customStyle="1" w:styleId="55">
    <w:name w:val="UserStyle_18"/>
    <w:qFormat/>
    <w:uiPriority w:val="0"/>
    <w:rPr>
      <w:rFonts w:ascii="Calibri" w:hAnsi="Calibri" w:eastAsia="宋体"/>
      <w:kern w:val="2"/>
      <w:sz w:val="18"/>
      <w:szCs w:val="18"/>
    </w:rPr>
  </w:style>
  <w:style w:type="paragraph" w:customStyle="1" w:styleId="56">
    <w:name w:val="UserStyle_19"/>
    <w:basedOn w:val="1"/>
    <w:qFormat/>
    <w:uiPriority w:val="0"/>
    <w:pPr>
      <w:spacing w:before="120" w:after="120" w:line="360" w:lineRule="auto"/>
      <w:ind w:left="-2" w:right="120" w:firstLine="480"/>
      <w:jc w:val="center"/>
    </w:pPr>
    <w:rPr>
      <w:rFonts w:ascii="Arial" w:hAnsi="Arial"/>
      <w:kern w:val="0"/>
      <w:sz w:val="24"/>
      <w:szCs w:val="24"/>
    </w:rPr>
  </w:style>
  <w:style w:type="paragraph" w:customStyle="1" w:styleId="57">
    <w:name w:val="UserStyle_20"/>
    <w:qFormat/>
    <w:uiPriority w:val="0"/>
    <w:pPr>
      <w:textAlignment w:val="baseline"/>
    </w:pPr>
    <w:rPr>
      <w:rFonts w:ascii="宋体" w:hAnsi="宋体" w:eastAsia="等线" w:cs="Times New Roman"/>
      <w:color w:val="000000"/>
      <w:sz w:val="24"/>
      <w:szCs w:val="24"/>
      <w:lang w:val="en-US" w:eastAsia="zh-CN" w:bidi="ar-SA"/>
    </w:rPr>
  </w:style>
  <w:style w:type="paragraph" w:customStyle="1" w:styleId="58">
    <w:name w:val="UserStyle_21"/>
    <w:basedOn w:val="1"/>
    <w:qFormat/>
    <w:uiPriority w:val="0"/>
    <w:rPr>
      <w:szCs w:val="24"/>
    </w:rPr>
  </w:style>
  <w:style w:type="paragraph" w:customStyle="1" w:styleId="59">
    <w:name w:val="UserStyle_22"/>
    <w:basedOn w:val="1"/>
    <w:qFormat/>
    <w:uiPriority w:val="0"/>
    <w:pPr>
      <w:spacing w:line="360" w:lineRule="auto"/>
      <w:ind w:left="360" w:hanging="360" w:hangingChars="150"/>
    </w:pPr>
    <w:rPr>
      <w:sz w:val="24"/>
      <w:szCs w:val="24"/>
    </w:rPr>
  </w:style>
  <w:style w:type="paragraph" w:customStyle="1" w:styleId="60">
    <w:name w:val="UserStyle_23"/>
    <w:basedOn w:val="1"/>
    <w:qFormat/>
    <w:uiPriority w:val="0"/>
    <w:pPr>
      <w:tabs>
        <w:tab w:val="left" w:pos="360"/>
      </w:tabs>
      <w:ind w:firstLine="200" w:firstLineChars="200"/>
    </w:pPr>
    <w:rPr>
      <w:sz w:val="28"/>
      <w:szCs w:val="30"/>
    </w:rPr>
  </w:style>
  <w:style w:type="paragraph" w:customStyle="1" w:styleId="61">
    <w:name w:val="UserStyle_24"/>
    <w:basedOn w:val="1"/>
    <w:qFormat/>
    <w:uiPriority w:val="0"/>
  </w:style>
  <w:style w:type="paragraph" w:customStyle="1" w:styleId="62">
    <w:name w:val="UserStyle_25"/>
    <w:basedOn w:val="1"/>
    <w:qFormat/>
    <w:uiPriority w:val="0"/>
    <w:rPr>
      <w:szCs w:val="24"/>
    </w:rPr>
  </w:style>
  <w:style w:type="paragraph" w:customStyle="1" w:styleId="63">
    <w:name w:val="UserStyle_26"/>
    <w:basedOn w:val="1"/>
    <w:qFormat/>
    <w:uiPriority w:val="0"/>
    <w:pPr>
      <w:spacing w:before="100" w:beforeAutospacing="1" w:after="100" w:afterAutospacing="1"/>
      <w:jc w:val="left"/>
    </w:pPr>
    <w:rPr>
      <w:rFonts w:ascii="宋体" w:hAnsi="宋体"/>
      <w:kern w:val="0"/>
      <w:sz w:val="24"/>
      <w:szCs w:val="24"/>
    </w:rPr>
  </w:style>
  <w:style w:type="paragraph" w:customStyle="1" w:styleId="64">
    <w:name w:val="UserStyle_27"/>
    <w:next w:val="34"/>
    <w:qFormat/>
    <w:uiPriority w:val="0"/>
    <w:pPr>
      <w:spacing w:before="100" w:beforeAutospacing="1" w:after="100" w:afterAutospacing="1"/>
      <w:textAlignment w:val="baseline"/>
    </w:pPr>
    <w:rPr>
      <w:rFonts w:ascii="宋体" w:hAnsi="Times New Roman" w:eastAsia="宋体" w:cs="Times New Roman"/>
      <w:color w:val="000000"/>
      <w:sz w:val="24"/>
      <w:szCs w:val="22"/>
      <w:lang w:val="en-US" w:eastAsia="zh-CN" w:bidi="ar-SA"/>
    </w:rPr>
  </w:style>
  <w:style w:type="paragraph" w:customStyle="1" w:styleId="65">
    <w:name w:val="UserStyle_28"/>
    <w:qFormat/>
    <w:uiPriority w:val="0"/>
    <w:pPr>
      <w:textAlignment w:val="baseline"/>
    </w:pPr>
    <w:rPr>
      <w:rFonts w:ascii="Times New Roman" w:hAnsi="Times New Roman" w:eastAsia="宋体" w:cs="Times New Roman"/>
      <w:szCs w:val="21"/>
      <w:lang w:val="en-US" w:eastAsia="zh-CN" w:bidi="ar-SA"/>
    </w:rPr>
  </w:style>
  <w:style w:type="paragraph" w:customStyle="1" w:styleId="66">
    <w:name w:val="UserStyle_29"/>
    <w:basedOn w:val="1"/>
    <w:qFormat/>
    <w:uiPriority w:val="0"/>
    <w:rPr>
      <w:szCs w:val="24"/>
    </w:rPr>
  </w:style>
  <w:style w:type="paragraph" w:customStyle="1" w:styleId="67">
    <w:name w:val="UserStyle_30"/>
    <w:basedOn w:val="25"/>
    <w:qFormat/>
    <w:uiPriority w:val="0"/>
    <w:rPr>
      <w:rFonts w:ascii="Tahoma" w:hAnsi="Tahoma"/>
      <w:sz w:val="24"/>
      <w:szCs w:val="24"/>
    </w:rPr>
  </w:style>
  <w:style w:type="paragraph" w:customStyle="1" w:styleId="68">
    <w:name w:val="UserStyle_31"/>
    <w:basedOn w:val="1"/>
    <w:qFormat/>
    <w:uiPriority w:val="0"/>
    <w:pPr>
      <w:spacing w:before="100" w:beforeAutospacing="1" w:after="100" w:afterAutospacing="1"/>
      <w:jc w:val="left"/>
    </w:pPr>
    <w:rPr>
      <w:rFonts w:ascii="宋体" w:hAnsi="宋体"/>
      <w:kern w:val="0"/>
      <w:sz w:val="24"/>
      <w:szCs w:val="24"/>
    </w:rPr>
  </w:style>
  <w:style w:type="paragraph" w:customStyle="1" w:styleId="69">
    <w:name w:val="UserStyle_32"/>
    <w:basedOn w:val="1"/>
    <w:qFormat/>
    <w:uiPriority w:val="0"/>
  </w:style>
  <w:style w:type="paragraph" w:customStyle="1" w:styleId="70">
    <w:name w:val="UserStyle_33"/>
    <w:basedOn w:val="1"/>
    <w:qFormat/>
    <w:uiPriority w:val="0"/>
    <w:pPr>
      <w:spacing w:before="100" w:beforeAutospacing="1" w:after="100" w:afterAutospacing="1"/>
      <w:jc w:val="left"/>
    </w:pPr>
    <w:rPr>
      <w:rFonts w:ascii="宋体" w:hAnsi="宋体"/>
      <w:kern w:val="0"/>
      <w:sz w:val="24"/>
      <w:szCs w:val="24"/>
    </w:rPr>
  </w:style>
  <w:style w:type="paragraph" w:customStyle="1" w:styleId="71">
    <w:name w:val="UserStyle_34"/>
    <w:basedOn w:val="1"/>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14282</Words>
  <Characters>15184</Characters>
  <Lines>124</Lines>
  <Paragraphs>35</Paragraphs>
  <TotalTime>1</TotalTime>
  <ScaleCrop>false</ScaleCrop>
  <LinksUpToDate>false</LinksUpToDate>
  <CharactersWithSpaces>16593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2022-05-31T00:37:00Z</dcterms:created>
  <dc:creator>赵晓亚</dc:creator>
  <cp:lastModifiedBy>Summer</cp:lastModifiedBy>
  <dcterms:modified xsi:type="dcterms:W3CDTF">2022-05-31T00:55:16Z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B10D3EB82DB84E08B6639040CDB01D97</vt:lpwstr>
  </property>
</Properties>
</file>